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2EFD9" w:themeColor="accent6" w:themeTint="33"/>
  <w:body>
    <w:p w:rsidR="001B195D" w:rsidRDefault="001B195D" w:rsidP="009A2524">
      <w:pPr>
        <w:jc w:val="center"/>
        <w:rPr>
          <w:rFonts w:ascii="Tw Cen MT" w:hAnsi="Tw Cen MT"/>
        </w:rPr>
      </w:pPr>
    </w:p>
    <w:p w:rsidR="009A2524" w:rsidRDefault="009A2524" w:rsidP="009A2524">
      <w:pPr>
        <w:jc w:val="center"/>
        <w:rPr>
          <w:rFonts w:ascii="Tw Cen MT" w:hAnsi="Tw Cen MT"/>
        </w:rPr>
      </w:pPr>
      <w:r>
        <w:rPr>
          <w:rFonts w:ascii="Tw Cen MT" w:hAnsi="Tw Cen MT"/>
          <w:noProof/>
          <w:lang w:eastAsia="en-GB"/>
        </w:rPr>
        <w:drawing>
          <wp:inline distT="0" distB="0" distL="0" distR="0">
            <wp:extent cx="152400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inline>
        </w:drawing>
      </w:r>
    </w:p>
    <w:p w:rsidR="009A2524" w:rsidRDefault="009A2524" w:rsidP="009A2524">
      <w:pPr>
        <w:jc w:val="center"/>
        <w:rPr>
          <w:rFonts w:ascii="Tw Cen MT" w:hAnsi="Tw Cen MT"/>
        </w:rPr>
      </w:pPr>
    </w:p>
    <w:p w:rsidR="009A2524" w:rsidRDefault="009A2524" w:rsidP="009A2524">
      <w:pPr>
        <w:jc w:val="center"/>
        <w:rPr>
          <w:rFonts w:ascii="Tw Cen MT" w:hAnsi="Tw Cen MT"/>
          <w:b/>
          <w:color w:val="385623" w:themeColor="accent6" w:themeShade="80"/>
          <w:sz w:val="48"/>
          <w:szCs w:val="48"/>
        </w:rPr>
      </w:pPr>
      <w:r w:rsidRPr="009A2524">
        <w:rPr>
          <w:rFonts w:ascii="Tw Cen MT" w:hAnsi="Tw Cen MT"/>
          <w:b/>
          <w:color w:val="385623" w:themeColor="accent6" w:themeShade="80"/>
          <w:sz w:val="48"/>
          <w:szCs w:val="48"/>
        </w:rPr>
        <w:t xml:space="preserve">Buckden CE Primary </w:t>
      </w:r>
      <w:r w:rsidR="00DC646D">
        <w:rPr>
          <w:rFonts w:ascii="Tw Cen MT" w:hAnsi="Tw Cen MT"/>
          <w:b/>
          <w:color w:val="385623" w:themeColor="accent6" w:themeShade="80"/>
          <w:sz w:val="48"/>
          <w:szCs w:val="48"/>
        </w:rPr>
        <w:t>EYFS</w:t>
      </w:r>
      <w:r>
        <w:rPr>
          <w:rFonts w:ascii="Tw Cen MT" w:hAnsi="Tw Cen MT"/>
          <w:b/>
          <w:color w:val="385623" w:themeColor="accent6" w:themeShade="80"/>
          <w:sz w:val="48"/>
          <w:szCs w:val="48"/>
        </w:rPr>
        <w:t xml:space="preserve"> </w:t>
      </w:r>
      <w:r w:rsidRPr="009A2524">
        <w:rPr>
          <w:rFonts w:ascii="Tw Cen MT" w:hAnsi="Tw Cen MT"/>
          <w:b/>
          <w:color w:val="385623" w:themeColor="accent6" w:themeShade="80"/>
          <w:sz w:val="48"/>
          <w:szCs w:val="48"/>
        </w:rPr>
        <w:t>Subject Guidance</w:t>
      </w:r>
    </w:p>
    <w:p w:rsidR="00D94DB0" w:rsidRDefault="00DC646D" w:rsidP="00D94DB0">
      <w:pPr>
        <w:rPr>
          <w:rFonts w:ascii="Tw Cen MT" w:hAnsi="Tw Cen MT"/>
          <w:color w:val="385623" w:themeColor="accent6" w:themeShade="80"/>
          <w:sz w:val="24"/>
          <w:szCs w:val="24"/>
        </w:rPr>
      </w:pPr>
      <w:r>
        <w:rPr>
          <w:rFonts w:ascii="Tw Cen MT" w:hAnsi="Tw Cen MT"/>
          <w:color w:val="385623" w:themeColor="accent6" w:themeShade="80"/>
          <w:sz w:val="24"/>
          <w:szCs w:val="24"/>
        </w:rPr>
        <w:t>Our EYFS</w:t>
      </w:r>
      <w:r w:rsidR="00171D3E" w:rsidRPr="00171D3E">
        <w:rPr>
          <w:rFonts w:ascii="Tw Cen MT" w:hAnsi="Tw Cen MT"/>
          <w:color w:val="385623" w:themeColor="accent6" w:themeShade="80"/>
          <w:sz w:val="24"/>
          <w:szCs w:val="24"/>
        </w:rPr>
        <w:t xml:space="preserve"> curriculum </w:t>
      </w:r>
      <w:r>
        <w:rPr>
          <w:rFonts w:ascii="Tw Cen MT" w:hAnsi="Tw Cen MT"/>
          <w:color w:val="385623" w:themeColor="accent6" w:themeShade="80"/>
          <w:sz w:val="24"/>
          <w:szCs w:val="24"/>
        </w:rPr>
        <w:t xml:space="preserve">is designed to encourage the children to </w:t>
      </w:r>
      <w:r w:rsidR="00D94DB0">
        <w:rPr>
          <w:rFonts w:ascii="Tw Cen MT" w:hAnsi="Tw Cen MT"/>
          <w:color w:val="385623" w:themeColor="accent6" w:themeShade="80"/>
          <w:sz w:val="24"/>
          <w:szCs w:val="24"/>
        </w:rPr>
        <w:t xml:space="preserve">enjoy school first and foremost. We prioritise getting to know the children as individuals and then providing our learning opportunities to best meet their needs and interests. We have a curriculum plan and then broaden this dependent upon the cohorts each year. </w:t>
      </w:r>
    </w:p>
    <w:p w:rsidR="00D94DB0" w:rsidRPr="00D94DB0" w:rsidRDefault="00D94DB0" w:rsidP="00D94DB0">
      <w:pPr>
        <w:rPr>
          <w:rFonts w:ascii="Tw Cen MT" w:eastAsia="MS Mincho" w:hAnsi="Tw Cen MT" w:cs="Arial"/>
          <w:color w:val="385623" w:themeColor="accent6" w:themeShade="80"/>
          <w:sz w:val="24"/>
          <w:szCs w:val="24"/>
          <w:lang w:val="en-US"/>
        </w:rPr>
      </w:pPr>
      <w:r>
        <w:rPr>
          <w:rFonts w:ascii="Tw Cen MT" w:hAnsi="Tw Cen MT"/>
          <w:color w:val="385623" w:themeColor="accent6" w:themeShade="80"/>
          <w:sz w:val="24"/>
          <w:szCs w:val="24"/>
        </w:rPr>
        <w:t>Our aim is;</w:t>
      </w:r>
    </w:p>
    <w:p w:rsidR="00D94DB0" w:rsidRPr="00D94DB0" w:rsidRDefault="00D94DB0" w:rsidP="00D94DB0">
      <w:pPr>
        <w:numPr>
          <w:ilvl w:val="0"/>
          <w:numId w:val="2"/>
        </w:numPr>
        <w:spacing w:before="120" w:after="120" w:line="240" w:lineRule="auto"/>
        <w:ind w:left="567" w:hanging="283"/>
        <w:rPr>
          <w:rFonts w:ascii="Tw Cen MT" w:eastAsia="MS Mincho" w:hAnsi="Tw Cen MT" w:cs="Times New Roman"/>
          <w:color w:val="385623" w:themeColor="accent6" w:themeShade="80"/>
          <w:sz w:val="24"/>
          <w:szCs w:val="24"/>
          <w:lang w:val="en-US"/>
        </w:rPr>
      </w:pPr>
      <w:r w:rsidRPr="00D94DB0">
        <w:rPr>
          <w:rFonts w:ascii="Tw Cen MT" w:eastAsia="MS Mincho" w:hAnsi="Tw Cen MT" w:cs="Times New Roman"/>
          <w:color w:val="385623" w:themeColor="accent6" w:themeShade="80"/>
          <w:sz w:val="24"/>
          <w:szCs w:val="24"/>
          <w:lang w:val="en-US"/>
        </w:rPr>
        <w:t>That children access a broad and balanced curriculum that gives them the broad range of knowledge and skills needed for good progress through school and life</w:t>
      </w:r>
    </w:p>
    <w:p w:rsidR="00D94DB0" w:rsidRPr="00D94DB0" w:rsidRDefault="00D94DB0" w:rsidP="00D94DB0">
      <w:pPr>
        <w:numPr>
          <w:ilvl w:val="0"/>
          <w:numId w:val="2"/>
        </w:numPr>
        <w:spacing w:before="120" w:after="120" w:line="240" w:lineRule="auto"/>
        <w:ind w:left="567" w:hanging="283"/>
        <w:rPr>
          <w:rFonts w:ascii="Tw Cen MT" w:eastAsia="MS Mincho" w:hAnsi="Tw Cen MT" w:cs="Times New Roman"/>
          <w:color w:val="385623" w:themeColor="accent6" w:themeShade="80"/>
          <w:sz w:val="24"/>
          <w:szCs w:val="24"/>
          <w:lang w:val="en-US"/>
        </w:rPr>
      </w:pPr>
      <w:r w:rsidRPr="00D94DB0">
        <w:rPr>
          <w:rFonts w:ascii="Tw Cen MT" w:eastAsia="MS Mincho" w:hAnsi="Tw Cen MT" w:cs="Times New Roman"/>
          <w:color w:val="385623" w:themeColor="accent6" w:themeShade="80"/>
          <w:sz w:val="24"/>
          <w:szCs w:val="24"/>
          <w:lang w:val="en-US"/>
        </w:rPr>
        <w:t>Quality and consistency in teaching and learning so that every child makes good progress and no child gets left behind</w:t>
      </w:r>
    </w:p>
    <w:p w:rsidR="00D94DB0" w:rsidRPr="00D94DB0" w:rsidRDefault="00D94DB0" w:rsidP="00D94DB0">
      <w:pPr>
        <w:numPr>
          <w:ilvl w:val="0"/>
          <w:numId w:val="2"/>
        </w:numPr>
        <w:spacing w:before="120" w:after="120" w:line="240" w:lineRule="auto"/>
        <w:ind w:left="567" w:hanging="283"/>
        <w:rPr>
          <w:rFonts w:ascii="Tw Cen MT" w:eastAsia="MS Mincho" w:hAnsi="Tw Cen MT" w:cs="Times New Roman"/>
          <w:color w:val="385623" w:themeColor="accent6" w:themeShade="80"/>
          <w:sz w:val="24"/>
          <w:szCs w:val="24"/>
          <w:lang w:val="en-US"/>
        </w:rPr>
      </w:pPr>
      <w:r w:rsidRPr="00D94DB0">
        <w:rPr>
          <w:rFonts w:ascii="Tw Cen MT" w:eastAsia="MS Mincho" w:hAnsi="Tw Cen MT" w:cs="Times New Roman"/>
          <w:color w:val="385623" w:themeColor="accent6" w:themeShade="80"/>
          <w:sz w:val="24"/>
          <w:szCs w:val="24"/>
          <w:lang w:val="en-US"/>
        </w:rPr>
        <w:t xml:space="preserve">A close working partnership between staff and parents and/or </w:t>
      </w:r>
      <w:proofErr w:type="spellStart"/>
      <w:r w:rsidRPr="00D94DB0">
        <w:rPr>
          <w:rFonts w:ascii="Tw Cen MT" w:eastAsia="MS Mincho" w:hAnsi="Tw Cen MT" w:cs="Times New Roman"/>
          <w:color w:val="385623" w:themeColor="accent6" w:themeShade="80"/>
          <w:sz w:val="24"/>
          <w:szCs w:val="24"/>
          <w:lang w:val="en-US"/>
        </w:rPr>
        <w:t>carers</w:t>
      </w:r>
      <w:proofErr w:type="spellEnd"/>
    </w:p>
    <w:p w:rsidR="00D94DB0" w:rsidRDefault="00D94DB0" w:rsidP="00D94DB0">
      <w:pPr>
        <w:numPr>
          <w:ilvl w:val="0"/>
          <w:numId w:val="2"/>
        </w:numPr>
        <w:spacing w:before="120" w:after="120" w:line="240" w:lineRule="auto"/>
        <w:ind w:left="567" w:hanging="283"/>
        <w:rPr>
          <w:rFonts w:ascii="Tw Cen MT" w:eastAsia="MS Mincho" w:hAnsi="Tw Cen MT" w:cs="Times New Roman"/>
          <w:color w:val="385623" w:themeColor="accent6" w:themeShade="80"/>
          <w:sz w:val="24"/>
          <w:szCs w:val="24"/>
          <w:lang w:val="en-US"/>
        </w:rPr>
      </w:pPr>
      <w:r w:rsidRPr="00D94DB0">
        <w:rPr>
          <w:rFonts w:ascii="Tw Cen MT" w:eastAsia="MS Mincho" w:hAnsi="Tw Cen MT" w:cs="Times New Roman"/>
          <w:color w:val="385623" w:themeColor="accent6" w:themeShade="80"/>
          <w:sz w:val="24"/>
          <w:szCs w:val="24"/>
          <w:lang w:val="en-US"/>
        </w:rPr>
        <w:t>Every child is included and supported through equality of opportunity and anti-discriminatory practice</w:t>
      </w:r>
    </w:p>
    <w:p w:rsidR="00A31FE6" w:rsidRPr="00D94DB0" w:rsidRDefault="00A31FE6" w:rsidP="00D94DB0">
      <w:pPr>
        <w:numPr>
          <w:ilvl w:val="0"/>
          <w:numId w:val="2"/>
        </w:numPr>
        <w:spacing w:before="120" w:after="120" w:line="240" w:lineRule="auto"/>
        <w:ind w:left="567" w:hanging="283"/>
        <w:rPr>
          <w:rFonts w:ascii="Tw Cen MT" w:eastAsia="MS Mincho" w:hAnsi="Tw Cen MT" w:cs="Times New Roman"/>
          <w:color w:val="385623" w:themeColor="accent6" w:themeShade="80"/>
          <w:sz w:val="24"/>
          <w:szCs w:val="24"/>
          <w:lang w:val="en-US"/>
        </w:rPr>
      </w:pPr>
      <w:r>
        <w:rPr>
          <w:rFonts w:ascii="Tw Cen MT" w:eastAsia="MS Mincho" w:hAnsi="Tw Cen MT" w:cs="Times New Roman"/>
          <w:color w:val="385623" w:themeColor="accent6" w:themeShade="80"/>
          <w:sz w:val="24"/>
          <w:szCs w:val="24"/>
          <w:lang w:val="en-US"/>
        </w:rPr>
        <w:t>To use the Global Learning Goals to educate the children to be environmentally responsible.</w:t>
      </w:r>
    </w:p>
    <w:p w:rsidR="00DC646D" w:rsidRPr="00D94DB0" w:rsidRDefault="00DC646D" w:rsidP="00171D3E">
      <w:pPr>
        <w:rPr>
          <w:rFonts w:ascii="Tw Cen MT" w:hAnsi="Tw Cen MT"/>
          <w:color w:val="385623" w:themeColor="accent6" w:themeShade="80"/>
          <w:sz w:val="24"/>
          <w:szCs w:val="24"/>
        </w:rPr>
      </w:pPr>
    </w:p>
    <w:p w:rsidR="00171D3E" w:rsidRPr="00171D3E" w:rsidRDefault="00171D3E" w:rsidP="00171D3E">
      <w:pPr>
        <w:rPr>
          <w:rFonts w:ascii="Tw Cen MT" w:hAnsi="Tw Cen MT"/>
          <w:color w:val="385623" w:themeColor="accent6" w:themeShade="80"/>
          <w:sz w:val="24"/>
          <w:szCs w:val="24"/>
        </w:rPr>
      </w:pPr>
      <w:r w:rsidRPr="00171D3E">
        <w:rPr>
          <w:rFonts w:ascii="Tw Cen MT" w:hAnsi="Tw Cen MT"/>
          <w:color w:val="385623" w:themeColor="accent6" w:themeShade="80"/>
          <w:sz w:val="24"/>
          <w:szCs w:val="24"/>
        </w:rPr>
        <w:t xml:space="preserve">We provide opportunities for the British Values to be embedded </w:t>
      </w:r>
      <w:r w:rsidR="00D94DB0">
        <w:rPr>
          <w:rFonts w:ascii="Tw Cen MT" w:hAnsi="Tw Cen MT"/>
          <w:color w:val="385623" w:themeColor="accent6" w:themeShade="80"/>
          <w:sz w:val="24"/>
          <w:szCs w:val="24"/>
        </w:rPr>
        <w:t xml:space="preserve">through early understanding of democracy- </w:t>
      </w:r>
      <w:proofErr w:type="spellStart"/>
      <w:r w:rsidR="00D94DB0">
        <w:rPr>
          <w:rFonts w:ascii="Tw Cen MT" w:hAnsi="Tw Cen MT"/>
          <w:color w:val="385623" w:themeColor="accent6" w:themeShade="80"/>
          <w:sz w:val="24"/>
          <w:szCs w:val="24"/>
        </w:rPr>
        <w:t>eg</w:t>
      </w:r>
      <w:proofErr w:type="spellEnd"/>
      <w:r w:rsidR="00D94DB0">
        <w:rPr>
          <w:rFonts w:ascii="Tw Cen MT" w:hAnsi="Tw Cen MT"/>
          <w:color w:val="385623" w:themeColor="accent6" w:themeShade="80"/>
          <w:sz w:val="24"/>
          <w:szCs w:val="24"/>
        </w:rPr>
        <w:t>. making selections of which book to read by children by carrying out votes. Each year we create a class charter with the children, making agreements on conduct expectations</w:t>
      </w:r>
      <w:r w:rsidR="00424FC3">
        <w:rPr>
          <w:rFonts w:ascii="Tw Cen MT" w:hAnsi="Tw Cen MT"/>
          <w:color w:val="385623" w:themeColor="accent6" w:themeShade="80"/>
          <w:sz w:val="24"/>
          <w:szCs w:val="24"/>
        </w:rPr>
        <w:t>,</w:t>
      </w:r>
      <w:r w:rsidR="00D94DB0">
        <w:rPr>
          <w:rFonts w:ascii="Tw Cen MT" w:hAnsi="Tw Cen MT"/>
          <w:color w:val="385623" w:themeColor="accent6" w:themeShade="80"/>
          <w:sz w:val="24"/>
          <w:szCs w:val="24"/>
        </w:rPr>
        <w:t xml:space="preserve"> which represents early rule of law practice. Our curriculum contains many and regular opportunities to celebrate difference in our class including learning about a full range of festivals </w:t>
      </w:r>
      <w:r w:rsidR="00424FC3">
        <w:rPr>
          <w:rFonts w:ascii="Tw Cen MT" w:hAnsi="Tw Cen MT"/>
          <w:color w:val="385623" w:themeColor="accent6" w:themeShade="80"/>
          <w:sz w:val="24"/>
          <w:szCs w:val="24"/>
        </w:rPr>
        <w:t>experienced by the many different cultures in our country. This is adapted each year to reflect the cultural make up of our current cohort. We encourage children to recognise their uniqueness whilst also noting similarity between themselves and others. This discussion is mainly led by the selection and use of quality fiction and non-fiction books so children can easily engage.</w:t>
      </w:r>
    </w:p>
    <w:p w:rsidR="000907B1" w:rsidRDefault="000907B1" w:rsidP="00171D3E">
      <w:pPr>
        <w:rPr>
          <w:rFonts w:ascii="Tw Cen MT" w:hAnsi="Tw Cen MT"/>
          <w:color w:val="385623" w:themeColor="accent6" w:themeShade="80"/>
          <w:sz w:val="24"/>
          <w:szCs w:val="24"/>
        </w:rPr>
      </w:pPr>
    </w:p>
    <w:p w:rsidR="00171D3E" w:rsidRPr="00171D3E" w:rsidRDefault="00171D3E" w:rsidP="00171D3E">
      <w:pPr>
        <w:rPr>
          <w:rFonts w:ascii="Tw Cen MT" w:hAnsi="Tw Cen MT"/>
          <w:color w:val="385623" w:themeColor="accent6" w:themeShade="80"/>
          <w:sz w:val="24"/>
          <w:szCs w:val="24"/>
        </w:rPr>
      </w:pPr>
    </w:p>
    <w:p w:rsidR="00424FC3" w:rsidRDefault="00171D3E" w:rsidP="00424FC3">
      <w:pPr>
        <w:rPr>
          <w:rFonts w:ascii="Tw Cen MT" w:hAnsi="Tw Cen MT"/>
          <w:b/>
          <w:color w:val="385623" w:themeColor="accent6" w:themeShade="80"/>
          <w:sz w:val="24"/>
          <w:szCs w:val="24"/>
        </w:rPr>
      </w:pPr>
      <w:r w:rsidRPr="00171D3E">
        <w:rPr>
          <w:rFonts w:ascii="Tw Cen MT" w:hAnsi="Tw Cen MT"/>
          <w:b/>
          <w:color w:val="385623" w:themeColor="accent6" w:themeShade="80"/>
          <w:sz w:val="24"/>
          <w:szCs w:val="24"/>
        </w:rPr>
        <w:t>Teaching and Learning</w:t>
      </w:r>
    </w:p>
    <w:p w:rsidR="00424FC3" w:rsidRPr="00424FC3" w:rsidRDefault="00424FC3" w:rsidP="00424FC3">
      <w:pPr>
        <w:rPr>
          <w:rFonts w:ascii="Tw Cen MT" w:hAnsi="Tw Cen MT"/>
          <w:b/>
          <w:color w:val="385623" w:themeColor="accent6" w:themeShade="80"/>
          <w:sz w:val="24"/>
          <w:szCs w:val="24"/>
        </w:rPr>
      </w:pPr>
      <w:r w:rsidRPr="00424FC3">
        <w:rPr>
          <w:rFonts w:ascii="Tw Cen MT" w:eastAsia="Times New Roman" w:hAnsi="Tw Cen MT" w:cs="Arial"/>
          <w:b/>
          <w:color w:val="385623" w:themeColor="accent6" w:themeShade="80"/>
          <w:sz w:val="24"/>
          <w:szCs w:val="24"/>
        </w:rPr>
        <w:t>Legislation</w:t>
      </w:r>
    </w:p>
    <w:p w:rsidR="00424FC3" w:rsidRDefault="00424FC3" w:rsidP="00424FC3">
      <w:pPr>
        <w:spacing w:after="120" w:line="240" w:lineRule="auto"/>
        <w:rPr>
          <w:rFonts w:ascii="Arial" w:eastAsia="MS Mincho" w:hAnsi="Arial" w:cs="Times New Roman"/>
          <w:color w:val="385623" w:themeColor="accent6" w:themeShade="80"/>
          <w:sz w:val="20"/>
          <w:szCs w:val="24"/>
          <w:lang w:val="en-US"/>
        </w:rPr>
      </w:pPr>
      <w:r>
        <w:rPr>
          <w:rFonts w:ascii="Tw Cen MT" w:eastAsia="MS Mincho" w:hAnsi="Tw Cen MT" w:cs="Times New Roman"/>
          <w:color w:val="385623" w:themeColor="accent6" w:themeShade="80"/>
          <w:sz w:val="24"/>
          <w:szCs w:val="24"/>
        </w:rPr>
        <w:t xml:space="preserve">This guidance </w:t>
      </w:r>
      <w:r w:rsidRPr="00424FC3">
        <w:rPr>
          <w:rFonts w:ascii="Tw Cen MT" w:eastAsia="MS Mincho" w:hAnsi="Tw Cen MT" w:cs="Times New Roman"/>
          <w:color w:val="385623" w:themeColor="accent6" w:themeShade="80"/>
          <w:sz w:val="24"/>
          <w:szCs w:val="24"/>
        </w:rPr>
        <w:t xml:space="preserve">is based on requirements set out in the </w:t>
      </w:r>
      <w:hyperlink r:id="rId8" w:history="1">
        <w:r w:rsidRPr="00424FC3">
          <w:rPr>
            <w:rFonts w:ascii="Tw Cen MT" w:eastAsia="MS Mincho" w:hAnsi="Tw Cen MT" w:cs="Times New Roman"/>
            <w:color w:val="385623" w:themeColor="accent6" w:themeShade="80"/>
            <w:sz w:val="24"/>
            <w:szCs w:val="24"/>
            <w:u w:val="single"/>
            <w:lang w:val="en-US"/>
          </w:rPr>
          <w:t>statutory framework for the Early Years Foundation Stage (EYFS) that applies from September 2021</w:t>
        </w:r>
      </w:hyperlink>
      <w:r w:rsidRPr="00424FC3">
        <w:rPr>
          <w:rFonts w:ascii="Arial" w:eastAsia="MS Mincho" w:hAnsi="Arial" w:cs="Times New Roman"/>
          <w:color w:val="385623" w:themeColor="accent6" w:themeShade="80"/>
          <w:sz w:val="20"/>
          <w:szCs w:val="24"/>
          <w:lang w:val="en-US"/>
        </w:rPr>
        <w:t>.</w:t>
      </w:r>
    </w:p>
    <w:p w:rsidR="00357FA3" w:rsidRPr="00357FA3" w:rsidRDefault="00357FA3" w:rsidP="00424FC3">
      <w:pPr>
        <w:spacing w:after="120" w:line="240" w:lineRule="auto"/>
        <w:rPr>
          <w:rFonts w:ascii="Tw Cen MT" w:eastAsia="MS Mincho" w:hAnsi="Tw Cen MT" w:cs="Times New Roman"/>
          <w:b/>
          <w:color w:val="385623" w:themeColor="accent6" w:themeShade="80"/>
          <w:sz w:val="24"/>
          <w:szCs w:val="24"/>
          <w:lang w:val="en-US"/>
        </w:rPr>
      </w:pPr>
      <w:r w:rsidRPr="00357FA3">
        <w:rPr>
          <w:rFonts w:ascii="Tw Cen MT" w:eastAsia="MS Mincho" w:hAnsi="Tw Cen MT" w:cs="Times New Roman"/>
          <w:b/>
          <w:color w:val="385623" w:themeColor="accent6" w:themeShade="80"/>
          <w:sz w:val="24"/>
          <w:szCs w:val="24"/>
          <w:lang w:val="en-US"/>
        </w:rPr>
        <w:t>Curriculum</w:t>
      </w:r>
    </w:p>
    <w:p w:rsidR="00424FC3" w:rsidRPr="00424FC3" w:rsidRDefault="00424FC3" w:rsidP="00424FC3">
      <w:pPr>
        <w:spacing w:after="120" w:line="240" w:lineRule="auto"/>
        <w:rPr>
          <w:rFonts w:ascii="Tw Cen MT" w:eastAsia="MS Mincho" w:hAnsi="Tw Cen MT" w:cs="Times New Roman"/>
          <w:color w:val="385623" w:themeColor="accent6" w:themeShade="80"/>
          <w:sz w:val="24"/>
          <w:szCs w:val="24"/>
        </w:rPr>
      </w:pPr>
      <w:r w:rsidRPr="00424FC3">
        <w:rPr>
          <w:rFonts w:ascii="Tw Cen MT" w:eastAsia="MS Mincho" w:hAnsi="Tw Cen MT" w:cs="Times New Roman"/>
          <w:color w:val="385623" w:themeColor="accent6" w:themeShade="80"/>
          <w:sz w:val="24"/>
          <w:szCs w:val="24"/>
        </w:rPr>
        <w:t>Our early years setting follows the curriculum as outlined in the latest version of the EYFS statutory framework that applies from September 2021.</w:t>
      </w:r>
    </w:p>
    <w:p w:rsidR="00424FC3" w:rsidRPr="00424FC3" w:rsidRDefault="00424FC3" w:rsidP="00424FC3">
      <w:pPr>
        <w:spacing w:after="120" w:line="240" w:lineRule="auto"/>
        <w:rPr>
          <w:rFonts w:ascii="Tw Cen MT" w:eastAsia="MS Mincho" w:hAnsi="Tw Cen MT" w:cs="Times New Roman"/>
          <w:color w:val="385623" w:themeColor="accent6" w:themeShade="80"/>
          <w:sz w:val="24"/>
          <w:szCs w:val="24"/>
        </w:rPr>
      </w:pPr>
      <w:r w:rsidRPr="00424FC3">
        <w:rPr>
          <w:rFonts w:ascii="Tw Cen MT" w:eastAsia="MS Mincho" w:hAnsi="Tw Cen MT" w:cs="Times New Roman"/>
          <w:color w:val="385623" w:themeColor="accent6" w:themeShade="80"/>
          <w:sz w:val="24"/>
          <w:szCs w:val="24"/>
        </w:rPr>
        <w:lastRenderedPageBreak/>
        <w:t xml:space="preserve">The EYFS framework includes 7 areas of learning and development that are equally important and inter-connected. However, 3 areas known as the prime areas are seen as particularly important for igniting curiosity and enthusiasm for learning, and for building children’s capacity to learn, form relationships and thrive. </w:t>
      </w:r>
    </w:p>
    <w:p w:rsidR="00424FC3" w:rsidRPr="00424FC3" w:rsidRDefault="00424FC3" w:rsidP="00424FC3">
      <w:pPr>
        <w:spacing w:after="120" w:line="240" w:lineRule="auto"/>
        <w:rPr>
          <w:rFonts w:ascii="Tw Cen MT" w:eastAsia="MS Mincho" w:hAnsi="Tw Cen MT" w:cs="Times New Roman"/>
          <w:color w:val="385623" w:themeColor="accent6" w:themeShade="80"/>
          <w:sz w:val="24"/>
          <w:szCs w:val="24"/>
        </w:rPr>
      </w:pPr>
      <w:r w:rsidRPr="00424FC3">
        <w:rPr>
          <w:rFonts w:ascii="Tw Cen MT" w:eastAsia="MS Mincho" w:hAnsi="Tw Cen MT" w:cs="Times New Roman"/>
          <w:color w:val="385623" w:themeColor="accent6" w:themeShade="80"/>
          <w:sz w:val="24"/>
          <w:szCs w:val="24"/>
        </w:rPr>
        <w:t>The prime areas are:</w:t>
      </w:r>
    </w:p>
    <w:p w:rsidR="00424FC3" w:rsidRPr="00424FC3" w:rsidRDefault="00424FC3" w:rsidP="00424FC3">
      <w:pPr>
        <w:numPr>
          <w:ilvl w:val="0"/>
          <w:numId w:val="2"/>
        </w:numPr>
        <w:spacing w:before="120" w:after="120" w:line="240" w:lineRule="auto"/>
        <w:ind w:left="567" w:hanging="283"/>
        <w:rPr>
          <w:rFonts w:ascii="Tw Cen MT" w:eastAsia="MS Mincho" w:hAnsi="Tw Cen MT" w:cs="Times New Roman"/>
          <w:color w:val="385623" w:themeColor="accent6" w:themeShade="80"/>
          <w:sz w:val="24"/>
          <w:szCs w:val="24"/>
          <w:lang w:val="en-US"/>
        </w:rPr>
      </w:pPr>
      <w:r w:rsidRPr="00424FC3">
        <w:rPr>
          <w:rFonts w:ascii="Tw Cen MT" w:eastAsia="MS Mincho" w:hAnsi="Tw Cen MT" w:cs="Times New Roman"/>
          <w:color w:val="385623" w:themeColor="accent6" w:themeShade="80"/>
          <w:sz w:val="24"/>
          <w:szCs w:val="24"/>
          <w:lang w:val="en-US"/>
        </w:rPr>
        <w:t>Communication and language</w:t>
      </w:r>
    </w:p>
    <w:p w:rsidR="00424FC3" w:rsidRPr="00424FC3" w:rsidRDefault="00424FC3" w:rsidP="00424FC3">
      <w:pPr>
        <w:numPr>
          <w:ilvl w:val="0"/>
          <w:numId w:val="2"/>
        </w:numPr>
        <w:spacing w:before="120" w:after="120" w:line="240" w:lineRule="auto"/>
        <w:ind w:left="567" w:hanging="283"/>
        <w:rPr>
          <w:rFonts w:ascii="Tw Cen MT" w:eastAsia="MS Mincho" w:hAnsi="Tw Cen MT" w:cs="Times New Roman"/>
          <w:color w:val="385623" w:themeColor="accent6" w:themeShade="80"/>
          <w:sz w:val="24"/>
          <w:szCs w:val="24"/>
          <w:lang w:val="en-US"/>
        </w:rPr>
      </w:pPr>
      <w:r w:rsidRPr="00424FC3">
        <w:rPr>
          <w:rFonts w:ascii="Tw Cen MT" w:eastAsia="MS Mincho" w:hAnsi="Tw Cen MT" w:cs="Times New Roman"/>
          <w:color w:val="385623" w:themeColor="accent6" w:themeShade="80"/>
          <w:sz w:val="24"/>
          <w:szCs w:val="24"/>
          <w:lang w:val="en-US"/>
        </w:rPr>
        <w:t>Physical development</w:t>
      </w:r>
    </w:p>
    <w:p w:rsidR="00424FC3" w:rsidRPr="00424FC3" w:rsidRDefault="00424FC3" w:rsidP="00424FC3">
      <w:pPr>
        <w:numPr>
          <w:ilvl w:val="0"/>
          <w:numId w:val="2"/>
        </w:numPr>
        <w:spacing w:before="120" w:after="120" w:line="240" w:lineRule="auto"/>
        <w:ind w:left="567" w:hanging="283"/>
        <w:rPr>
          <w:rFonts w:ascii="Tw Cen MT" w:eastAsia="MS Mincho" w:hAnsi="Tw Cen MT" w:cs="Times New Roman"/>
          <w:color w:val="385623" w:themeColor="accent6" w:themeShade="80"/>
          <w:sz w:val="24"/>
          <w:szCs w:val="24"/>
          <w:lang w:val="en-US"/>
        </w:rPr>
      </w:pPr>
      <w:r w:rsidRPr="00424FC3">
        <w:rPr>
          <w:rFonts w:ascii="Tw Cen MT" w:eastAsia="MS Mincho" w:hAnsi="Tw Cen MT" w:cs="Times New Roman"/>
          <w:color w:val="385623" w:themeColor="accent6" w:themeShade="80"/>
          <w:sz w:val="24"/>
          <w:szCs w:val="24"/>
          <w:lang w:val="en-US"/>
        </w:rPr>
        <w:t xml:space="preserve">Personal, social and emotional development </w:t>
      </w:r>
    </w:p>
    <w:p w:rsidR="00424FC3" w:rsidRPr="00424FC3" w:rsidRDefault="00424FC3" w:rsidP="00424FC3">
      <w:pPr>
        <w:rPr>
          <w:rFonts w:ascii="Tw Cen MT" w:eastAsia="Times New Roman" w:hAnsi="Tw Cen MT" w:cs="Arial"/>
          <w:color w:val="385623" w:themeColor="accent6" w:themeShade="80"/>
          <w:sz w:val="24"/>
          <w:szCs w:val="24"/>
        </w:rPr>
      </w:pPr>
    </w:p>
    <w:p w:rsidR="00424FC3" w:rsidRPr="00424FC3" w:rsidRDefault="00424FC3" w:rsidP="00424FC3">
      <w:pPr>
        <w:spacing w:after="120" w:line="240" w:lineRule="auto"/>
        <w:rPr>
          <w:rFonts w:ascii="Tw Cen MT" w:eastAsia="MS Mincho" w:hAnsi="Tw Cen MT" w:cs="Times New Roman"/>
          <w:color w:val="385623" w:themeColor="accent6" w:themeShade="80"/>
          <w:sz w:val="24"/>
          <w:szCs w:val="24"/>
        </w:rPr>
      </w:pPr>
      <w:r w:rsidRPr="00424FC3">
        <w:rPr>
          <w:rFonts w:ascii="Tw Cen MT" w:eastAsia="MS Mincho" w:hAnsi="Tw Cen MT" w:cs="Times New Roman"/>
          <w:color w:val="385623" w:themeColor="accent6" w:themeShade="80"/>
          <w:sz w:val="24"/>
          <w:szCs w:val="24"/>
        </w:rPr>
        <w:t>The prime areas are strengthened and applied through 4 specific areas:</w:t>
      </w:r>
    </w:p>
    <w:p w:rsidR="00424FC3" w:rsidRPr="00424FC3" w:rsidRDefault="00424FC3" w:rsidP="00424FC3">
      <w:pPr>
        <w:numPr>
          <w:ilvl w:val="0"/>
          <w:numId w:val="2"/>
        </w:numPr>
        <w:spacing w:before="120" w:after="120" w:line="240" w:lineRule="auto"/>
        <w:ind w:left="567" w:hanging="283"/>
        <w:rPr>
          <w:rFonts w:ascii="Tw Cen MT" w:eastAsia="MS Mincho" w:hAnsi="Tw Cen MT" w:cs="Times New Roman"/>
          <w:color w:val="385623" w:themeColor="accent6" w:themeShade="80"/>
          <w:sz w:val="24"/>
          <w:szCs w:val="24"/>
          <w:lang w:val="en-US"/>
        </w:rPr>
      </w:pPr>
      <w:r w:rsidRPr="00424FC3">
        <w:rPr>
          <w:rFonts w:ascii="Tw Cen MT" w:eastAsia="MS Mincho" w:hAnsi="Tw Cen MT" w:cs="Times New Roman"/>
          <w:color w:val="385623" w:themeColor="accent6" w:themeShade="80"/>
          <w:sz w:val="24"/>
          <w:szCs w:val="24"/>
          <w:lang w:val="en-US"/>
        </w:rPr>
        <w:t>Literacy</w:t>
      </w:r>
    </w:p>
    <w:p w:rsidR="00424FC3" w:rsidRPr="00424FC3" w:rsidRDefault="00424FC3" w:rsidP="00424FC3">
      <w:pPr>
        <w:numPr>
          <w:ilvl w:val="0"/>
          <w:numId w:val="2"/>
        </w:numPr>
        <w:spacing w:before="120" w:after="120" w:line="240" w:lineRule="auto"/>
        <w:ind w:left="567" w:hanging="283"/>
        <w:rPr>
          <w:rFonts w:ascii="Tw Cen MT" w:eastAsia="MS Mincho" w:hAnsi="Tw Cen MT" w:cs="Times New Roman"/>
          <w:color w:val="385623" w:themeColor="accent6" w:themeShade="80"/>
          <w:sz w:val="24"/>
          <w:szCs w:val="24"/>
          <w:lang w:val="en-US"/>
        </w:rPr>
      </w:pPr>
      <w:r w:rsidRPr="00424FC3">
        <w:rPr>
          <w:rFonts w:ascii="Tw Cen MT" w:eastAsia="MS Mincho" w:hAnsi="Tw Cen MT" w:cs="Times New Roman"/>
          <w:color w:val="385623" w:themeColor="accent6" w:themeShade="80"/>
          <w:sz w:val="24"/>
          <w:szCs w:val="24"/>
          <w:lang w:val="en-US"/>
        </w:rPr>
        <w:t>Mathematics</w:t>
      </w:r>
    </w:p>
    <w:p w:rsidR="00424FC3" w:rsidRPr="00424FC3" w:rsidRDefault="00424FC3" w:rsidP="00424FC3">
      <w:pPr>
        <w:numPr>
          <w:ilvl w:val="0"/>
          <w:numId w:val="2"/>
        </w:numPr>
        <w:spacing w:before="120" w:after="120" w:line="240" w:lineRule="auto"/>
        <w:ind w:left="567" w:hanging="283"/>
        <w:rPr>
          <w:rFonts w:ascii="Tw Cen MT" w:eastAsia="MS Mincho" w:hAnsi="Tw Cen MT" w:cs="Times New Roman"/>
          <w:color w:val="385623" w:themeColor="accent6" w:themeShade="80"/>
          <w:sz w:val="24"/>
          <w:szCs w:val="24"/>
          <w:lang w:val="en-US"/>
        </w:rPr>
      </w:pPr>
      <w:r w:rsidRPr="00424FC3">
        <w:rPr>
          <w:rFonts w:ascii="Tw Cen MT" w:eastAsia="MS Mincho" w:hAnsi="Tw Cen MT" w:cs="Times New Roman"/>
          <w:color w:val="385623" w:themeColor="accent6" w:themeShade="80"/>
          <w:sz w:val="24"/>
          <w:szCs w:val="24"/>
          <w:lang w:val="en-US"/>
        </w:rPr>
        <w:t>Understanding the world</w:t>
      </w:r>
    </w:p>
    <w:p w:rsidR="00424FC3" w:rsidRDefault="00424FC3" w:rsidP="00424FC3">
      <w:pPr>
        <w:numPr>
          <w:ilvl w:val="0"/>
          <w:numId w:val="2"/>
        </w:numPr>
        <w:spacing w:before="120" w:after="120" w:line="240" w:lineRule="auto"/>
        <w:ind w:left="567" w:hanging="283"/>
        <w:rPr>
          <w:rFonts w:ascii="Tw Cen MT" w:eastAsia="MS Mincho" w:hAnsi="Tw Cen MT" w:cs="Times New Roman"/>
          <w:color w:val="385623" w:themeColor="accent6" w:themeShade="80"/>
          <w:sz w:val="24"/>
          <w:szCs w:val="24"/>
          <w:lang w:val="en-US"/>
        </w:rPr>
      </w:pPr>
      <w:r w:rsidRPr="00424FC3">
        <w:rPr>
          <w:rFonts w:ascii="Tw Cen MT" w:eastAsia="MS Mincho" w:hAnsi="Tw Cen MT" w:cs="Times New Roman"/>
          <w:color w:val="385623" w:themeColor="accent6" w:themeShade="80"/>
          <w:sz w:val="24"/>
          <w:szCs w:val="24"/>
          <w:lang w:val="en-US"/>
        </w:rPr>
        <w:t>Expressive arts and design</w:t>
      </w:r>
    </w:p>
    <w:p w:rsidR="00424FC3" w:rsidRDefault="00424FC3" w:rsidP="00424FC3">
      <w:pPr>
        <w:spacing w:before="120" w:after="120" w:line="240" w:lineRule="auto"/>
        <w:ind w:left="567"/>
        <w:rPr>
          <w:rFonts w:ascii="Tw Cen MT" w:eastAsia="MS Mincho" w:hAnsi="Tw Cen MT" w:cs="Times New Roman"/>
          <w:color w:val="385623" w:themeColor="accent6" w:themeShade="80"/>
          <w:sz w:val="24"/>
          <w:szCs w:val="24"/>
          <w:lang w:val="en-US"/>
        </w:rPr>
      </w:pPr>
    </w:p>
    <w:p w:rsidR="00424FC3" w:rsidRDefault="00424FC3" w:rsidP="00424FC3">
      <w:pPr>
        <w:spacing w:before="120" w:after="120" w:line="240" w:lineRule="auto"/>
        <w:jc w:val="both"/>
        <w:rPr>
          <w:rFonts w:ascii="Tw Cen MT" w:eastAsia="MS Mincho" w:hAnsi="Tw Cen MT" w:cs="Times New Roman"/>
          <w:color w:val="385623" w:themeColor="accent6" w:themeShade="80"/>
          <w:sz w:val="24"/>
          <w:szCs w:val="24"/>
          <w:lang w:val="en-US"/>
        </w:rPr>
      </w:pPr>
      <w:r>
        <w:rPr>
          <w:rFonts w:ascii="Tw Cen MT" w:eastAsia="MS Mincho" w:hAnsi="Tw Cen MT" w:cs="Times New Roman"/>
          <w:color w:val="385623" w:themeColor="accent6" w:themeShade="80"/>
          <w:sz w:val="24"/>
          <w:szCs w:val="24"/>
          <w:lang w:val="en-US"/>
        </w:rPr>
        <w:t>Our children join us predominantly from the village two feeder settings but also from further afield in some cases. Our transition schedule allows for us to meet with children, parents and preschool practitioners so we learn as much as we can about the children a</w:t>
      </w:r>
      <w:r w:rsidR="00A31FE6">
        <w:rPr>
          <w:rFonts w:ascii="Tw Cen MT" w:eastAsia="MS Mincho" w:hAnsi="Tw Cen MT" w:cs="Times New Roman"/>
          <w:color w:val="385623" w:themeColor="accent6" w:themeShade="80"/>
          <w:sz w:val="24"/>
          <w:szCs w:val="24"/>
          <w:lang w:val="en-US"/>
        </w:rPr>
        <w:t>nd make the start of school as smooth a transition as possible.</w:t>
      </w:r>
    </w:p>
    <w:p w:rsidR="00A31FE6" w:rsidRPr="00A31FE6" w:rsidRDefault="00A31FE6" w:rsidP="00A31FE6">
      <w:pPr>
        <w:spacing w:after="120" w:line="240" w:lineRule="auto"/>
        <w:rPr>
          <w:rFonts w:ascii="Tw Cen MT" w:eastAsia="MS Mincho" w:hAnsi="Tw Cen MT" w:cs="Times New Roman"/>
          <w:color w:val="385623" w:themeColor="accent6" w:themeShade="80"/>
          <w:sz w:val="24"/>
          <w:szCs w:val="24"/>
        </w:rPr>
      </w:pPr>
      <w:r w:rsidRPr="00A31FE6">
        <w:rPr>
          <w:rFonts w:ascii="Tw Cen MT" w:eastAsia="MS Mincho" w:hAnsi="Tw Cen MT" w:cs="Times New Roman"/>
          <w:color w:val="385623" w:themeColor="accent6" w:themeShade="80"/>
          <w:sz w:val="24"/>
          <w:szCs w:val="24"/>
        </w:rPr>
        <w:t xml:space="preserve">Staff plan activities and experiences for children that enable children to develop and learn effectively. </w:t>
      </w:r>
      <w:r>
        <w:rPr>
          <w:rFonts w:ascii="Tw Cen MT" w:eastAsia="MS Mincho" w:hAnsi="Tw Cen MT" w:cs="Times New Roman"/>
          <w:color w:val="385623" w:themeColor="accent6" w:themeShade="80"/>
          <w:sz w:val="24"/>
          <w:szCs w:val="24"/>
        </w:rPr>
        <w:t xml:space="preserve">In the first half term there is a strong </w:t>
      </w:r>
      <w:r w:rsidRPr="00A31FE6">
        <w:rPr>
          <w:rFonts w:ascii="Tw Cen MT" w:eastAsia="MS Mincho" w:hAnsi="Tw Cen MT" w:cs="Times New Roman"/>
          <w:color w:val="385623" w:themeColor="accent6" w:themeShade="80"/>
          <w:sz w:val="24"/>
          <w:szCs w:val="24"/>
        </w:rPr>
        <w:t xml:space="preserve">focus </w:t>
      </w:r>
      <w:r>
        <w:rPr>
          <w:rFonts w:ascii="Tw Cen MT" w:eastAsia="MS Mincho" w:hAnsi="Tw Cen MT" w:cs="Times New Roman"/>
          <w:color w:val="385623" w:themeColor="accent6" w:themeShade="80"/>
          <w:sz w:val="24"/>
          <w:szCs w:val="24"/>
        </w:rPr>
        <w:t xml:space="preserve">on the 3 prime areas as we see this as the key that underpins future educational success and readiness to learn. For some this remains the focus until they have developed </w:t>
      </w:r>
      <w:r w:rsidR="00357FA3">
        <w:rPr>
          <w:rFonts w:ascii="Tw Cen MT" w:eastAsia="MS Mincho" w:hAnsi="Tw Cen MT" w:cs="Times New Roman"/>
          <w:color w:val="385623" w:themeColor="accent6" w:themeShade="80"/>
          <w:sz w:val="24"/>
          <w:szCs w:val="24"/>
        </w:rPr>
        <w:t xml:space="preserve">skills needed to listen, attend and self-regulate. </w:t>
      </w:r>
    </w:p>
    <w:p w:rsidR="00A31FE6" w:rsidRPr="00A31FE6" w:rsidRDefault="00A31FE6" w:rsidP="00A31FE6">
      <w:pPr>
        <w:spacing w:after="120" w:line="240" w:lineRule="auto"/>
        <w:rPr>
          <w:rFonts w:ascii="Tw Cen MT" w:eastAsia="MS Mincho" w:hAnsi="Tw Cen MT" w:cs="Times New Roman"/>
          <w:color w:val="385623" w:themeColor="accent6" w:themeShade="80"/>
          <w:sz w:val="24"/>
          <w:szCs w:val="24"/>
        </w:rPr>
      </w:pPr>
      <w:r w:rsidRPr="00A31FE6">
        <w:rPr>
          <w:rFonts w:ascii="Tw Cen MT" w:eastAsia="MS Mincho" w:hAnsi="Tw Cen MT" w:cs="Times New Roman"/>
          <w:color w:val="385623" w:themeColor="accent6" w:themeShade="80"/>
          <w:sz w:val="24"/>
          <w:szCs w:val="24"/>
        </w:rPr>
        <w:t xml:space="preserve">Staff also take into account the individual needs, interests, and stage of development of each child in their care, and use this information to plan a challenging and enjoyable experience. Where a child may have a special educational need or disability, staff consider whether specialist support is required, linking with relevant services from other agencies, where appropriate. </w:t>
      </w:r>
    </w:p>
    <w:p w:rsidR="00A31FE6" w:rsidRPr="00A31FE6" w:rsidRDefault="00A31FE6" w:rsidP="00A31FE6">
      <w:pPr>
        <w:spacing w:after="120" w:line="240" w:lineRule="auto"/>
        <w:rPr>
          <w:rFonts w:ascii="Tw Cen MT" w:eastAsia="MS Mincho" w:hAnsi="Tw Cen MT" w:cs="Times New Roman"/>
          <w:color w:val="385623" w:themeColor="accent6" w:themeShade="80"/>
          <w:sz w:val="24"/>
          <w:szCs w:val="24"/>
        </w:rPr>
      </w:pPr>
      <w:r w:rsidRPr="00A31FE6">
        <w:rPr>
          <w:rFonts w:ascii="Tw Cen MT" w:eastAsia="MS Mincho" w:hAnsi="Tw Cen MT" w:cs="Times New Roman"/>
          <w:color w:val="385623" w:themeColor="accent6" w:themeShade="80"/>
          <w:sz w:val="24"/>
          <w:szCs w:val="24"/>
        </w:rPr>
        <w:t>Each area of learning and development is implemented through planned, purposeful play, and through a mix of adult-led and child-initiated activities. Staff respond to each child’s emerging needs and interests, guiding their development through warm, positive interaction.</w:t>
      </w:r>
    </w:p>
    <w:p w:rsidR="00A31FE6" w:rsidRPr="00A31FE6" w:rsidRDefault="00A31FE6" w:rsidP="00A31FE6">
      <w:pPr>
        <w:spacing w:after="120" w:line="240" w:lineRule="auto"/>
        <w:rPr>
          <w:rFonts w:ascii="Tw Cen MT" w:eastAsia="MS Mincho" w:hAnsi="Tw Cen MT" w:cs="Times New Roman"/>
          <w:color w:val="385623" w:themeColor="accent6" w:themeShade="80"/>
          <w:sz w:val="24"/>
          <w:szCs w:val="24"/>
        </w:rPr>
      </w:pPr>
      <w:r w:rsidRPr="00A31FE6">
        <w:rPr>
          <w:rFonts w:ascii="Tw Cen MT" w:eastAsia="MS Mincho" w:hAnsi="Tw Cen MT" w:cs="Times New Roman"/>
          <w:color w:val="385623" w:themeColor="accent6" w:themeShade="80"/>
          <w:sz w:val="24"/>
          <w:szCs w:val="24"/>
        </w:rPr>
        <w:t>As children grow older, and as their development allows, the balance gradually shifts towards more adult-led activities to help children prepare for more formal learning, ready for year 1.</w:t>
      </w:r>
    </w:p>
    <w:p w:rsidR="00A31FE6" w:rsidRDefault="00A31FE6" w:rsidP="00424FC3">
      <w:pPr>
        <w:spacing w:before="120" w:after="120" w:line="240" w:lineRule="auto"/>
        <w:jc w:val="both"/>
        <w:rPr>
          <w:rFonts w:ascii="Tw Cen MT" w:eastAsia="MS Mincho" w:hAnsi="Tw Cen MT" w:cs="Times New Roman"/>
          <w:color w:val="385623" w:themeColor="accent6" w:themeShade="80"/>
          <w:sz w:val="24"/>
          <w:szCs w:val="24"/>
          <w:lang w:val="en-US"/>
        </w:rPr>
      </w:pPr>
    </w:p>
    <w:p w:rsidR="00A31FE6" w:rsidRDefault="00A31FE6" w:rsidP="00424FC3">
      <w:pPr>
        <w:spacing w:before="120" w:after="120" w:line="240" w:lineRule="auto"/>
        <w:jc w:val="both"/>
        <w:rPr>
          <w:rFonts w:ascii="Tw Cen MT" w:eastAsia="MS Mincho" w:hAnsi="Tw Cen MT" w:cs="Times New Roman"/>
          <w:b/>
          <w:color w:val="385623" w:themeColor="accent6" w:themeShade="80"/>
          <w:sz w:val="24"/>
          <w:szCs w:val="24"/>
          <w:lang w:val="en-US"/>
        </w:rPr>
      </w:pPr>
      <w:r>
        <w:rPr>
          <w:rFonts w:ascii="Tw Cen MT" w:eastAsia="MS Mincho" w:hAnsi="Tw Cen MT" w:cs="Times New Roman"/>
          <w:b/>
          <w:color w:val="385623" w:themeColor="accent6" w:themeShade="80"/>
          <w:sz w:val="24"/>
          <w:szCs w:val="24"/>
          <w:lang w:val="en-US"/>
        </w:rPr>
        <w:t>Inclusion</w:t>
      </w:r>
    </w:p>
    <w:p w:rsidR="00A31FE6" w:rsidRPr="00A31FE6" w:rsidRDefault="00A31FE6" w:rsidP="00424FC3">
      <w:pPr>
        <w:spacing w:before="120" w:after="120" w:line="240" w:lineRule="auto"/>
        <w:jc w:val="both"/>
        <w:rPr>
          <w:rFonts w:ascii="Tw Cen MT" w:eastAsia="MS Mincho" w:hAnsi="Tw Cen MT" w:cs="Times New Roman"/>
          <w:color w:val="385623" w:themeColor="accent6" w:themeShade="80"/>
          <w:sz w:val="24"/>
          <w:szCs w:val="24"/>
          <w:lang w:val="en-US"/>
        </w:rPr>
      </w:pPr>
      <w:r>
        <w:rPr>
          <w:rFonts w:ascii="Tw Cen MT" w:eastAsia="MS Mincho" w:hAnsi="Tw Cen MT" w:cs="Times New Roman"/>
          <w:color w:val="385623" w:themeColor="accent6" w:themeShade="80"/>
          <w:sz w:val="24"/>
          <w:szCs w:val="24"/>
          <w:lang w:val="en-US"/>
        </w:rPr>
        <w:t xml:space="preserve">We work closely with our school SENDCO and feeder SENDCO’s to ensure children’s additional needs are met and they can equally access our curriculum. Adaptations are made to the environment, adult support, resources and curriculum content to meet any additional needs. </w:t>
      </w:r>
    </w:p>
    <w:p w:rsidR="00A31FE6" w:rsidRDefault="00A31FE6" w:rsidP="00424FC3">
      <w:pPr>
        <w:spacing w:before="120" w:after="120" w:line="240" w:lineRule="auto"/>
        <w:jc w:val="both"/>
        <w:rPr>
          <w:rFonts w:ascii="Tw Cen MT" w:eastAsia="MS Mincho" w:hAnsi="Tw Cen MT" w:cs="Times New Roman"/>
          <w:color w:val="385623" w:themeColor="accent6" w:themeShade="80"/>
          <w:sz w:val="24"/>
          <w:szCs w:val="24"/>
          <w:lang w:val="en-US"/>
        </w:rPr>
      </w:pPr>
    </w:p>
    <w:p w:rsidR="00171D3E" w:rsidRDefault="00357FA3" w:rsidP="00171D3E">
      <w:pPr>
        <w:rPr>
          <w:rFonts w:ascii="Tw Cen MT" w:hAnsi="Tw Cen MT"/>
          <w:b/>
          <w:color w:val="385623" w:themeColor="accent6" w:themeShade="80"/>
          <w:sz w:val="24"/>
          <w:szCs w:val="24"/>
        </w:rPr>
      </w:pPr>
      <w:r>
        <w:rPr>
          <w:rFonts w:ascii="Tw Cen MT" w:hAnsi="Tw Cen MT"/>
          <w:b/>
          <w:color w:val="385623" w:themeColor="accent6" w:themeShade="80"/>
          <w:sz w:val="24"/>
          <w:szCs w:val="24"/>
        </w:rPr>
        <w:t>Assessment in EYFS</w:t>
      </w:r>
    </w:p>
    <w:p w:rsidR="00357FA3" w:rsidRPr="00357FA3" w:rsidRDefault="00357FA3" w:rsidP="00357FA3">
      <w:pPr>
        <w:spacing w:after="120" w:line="240" w:lineRule="auto"/>
        <w:rPr>
          <w:rFonts w:ascii="Tw Cen MT" w:eastAsia="MS Mincho" w:hAnsi="Tw Cen MT" w:cs="Times New Roman"/>
          <w:color w:val="385623" w:themeColor="accent6" w:themeShade="80"/>
          <w:sz w:val="24"/>
          <w:szCs w:val="24"/>
        </w:rPr>
      </w:pPr>
      <w:r w:rsidRPr="00357FA3">
        <w:rPr>
          <w:rFonts w:ascii="Tw Cen MT" w:eastAsia="MS Mincho" w:hAnsi="Tw Cen MT" w:cs="Times New Roman"/>
          <w:color w:val="385623" w:themeColor="accent6" w:themeShade="80"/>
          <w:sz w:val="24"/>
          <w:szCs w:val="24"/>
        </w:rPr>
        <w:t>Within the first 6 weeks that</w:t>
      </w:r>
      <w:r w:rsidRPr="00357FA3">
        <w:rPr>
          <w:rFonts w:ascii="Tw Cen MT" w:eastAsia="MS Mincho" w:hAnsi="Tw Cen MT" w:cs="Times New Roman"/>
          <w:b/>
          <w:color w:val="385623" w:themeColor="accent6" w:themeShade="80"/>
          <w:sz w:val="24"/>
          <w:szCs w:val="24"/>
        </w:rPr>
        <w:t xml:space="preserve"> </w:t>
      </w:r>
      <w:r w:rsidRPr="00357FA3">
        <w:rPr>
          <w:rFonts w:ascii="Tw Cen MT" w:eastAsia="MS Mincho" w:hAnsi="Tw Cen MT" w:cs="Times New Roman"/>
          <w:color w:val="385623" w:themeColor="accent6" w:themeShade="80"/>
          <w:sz w:val="24"/>
          <w:szCs w:val="24"/>
        </w:rPr>
        <w:t>a child</w:t>
      </w:r>
      <w:r w:rsidRPr="00357FA3">
        <w:rPr>
          <w:rFonts w:ascii="Tw Cen MT" w:eastAsia="MS Mincho" w:hAnsi="Tw Cen MT" w:cs="Times New Roman"/>
          <w:b/>
          <w:color w:val="385623" w:themeColor="accent6" w:themeShade="80"/>
          <w:sz w:val="24"/>
          <w:szCs w:val="24"/>
        </w:rPr>
        <w:t xml:space="preserve"> starts reception</w:t>
      </w:r>
      <w:r w:rsidRPr="00357FA3">
        <w:rPr>
          <w:rFonts w:ascii="Tw Cen MT" w:eastAsia="MS Mincho" w:hAnsi="Tw Cen MT" w:cs="Times New Roman"/>
          <w:color w:val="385623" w:themeColor="accent6" w:themeShade="80"/>
          <w:sz w:val="24"/>
          <w:szCs w:val="24"/>
        </w:rPr>
        <w:t xml:space="preserve">, staff will administer the Reception Baseline Assessment (RBA). </w:t>
      </w:r>
    </w:p>
    <w:p w:rsidR="00357FA3" w:rsidRPr="00357FA3" w:rsidRDefault="00357FA3" w:rsidP="00357FA3">
      <w:pPr>
        <w:spacing w:after="120" w:line="240" w:lineRule="auto"/>
        <w:rPr>
          <w:rFonts w:ascii="Tw Cen MT" w:eastAsia="MS Mincho" w:hAnsi="Tw Cen MT" w:cs="Times New Roman"/>
          <w:color w:val="385623" w:themeColor="accent6" w:themeShade="80"/>
          <w:sz w:val="24"/>
          <w:szCs w:val="24"/>
        </w:rPr>
      </w:pPr>
      <w:r w:rsidRPr="00357FA3">
        <w:rPr>
          <w:rFonts w:ascii="Tw Cen MT" w:eastAsia="MS Mincho" w:hAnsi="Tw Cen MT" w:cs="Times New Roman"/>
          <w:color w:val="385623" w:themeColor="accent6" w:themeShade="80"/>
          <w:sz w:val="24"/>
          <w:szCs w:val="24"/>
        </w:rPr>
        <w:t xml:space="preserve">At the </w:t>
      </w:r>
      <w:r w:rsidRPr="00357FA3">
        <w:rPr>
          <w:rFonts w:ascii="Tw Cen MT" w:eastAsia="MS Mincho" w:hAnsi="Tw Cen MT" w:cs="Times New Roman"/>
          <w:b/>
          <w:color w:val="385623" w:themeColor="accent6" w:themeShade="80"/>
          <w:sz w:val="24"/>
          <w:szCs w:val="24"/>
        </w:rPr>
        <w:t>end of the EYFS</w:t>
      </w:r>
      <w:r w:rsidRPr="00357FA3">
        <w:rPr>
          <w:rFonts w:ascii="Tw Cen MT" w:eastAsia="MS Mincho" w:hAnsi="Tw Cen MT" w:cs="Times New Roman"/>
          <w:color w:val="385623" w:themeColor="accent6" w:themeShade="80"/>
          <w:sz w:val="24"/>
          <w:szCs w:val="24"/>
        </w:rPr>
        <w:t>, staff complete the EYFS profile for each child. Pupils are assessed against the 17 early learning goals, indicating whether they are:</w:t>
      </w:r>
    </w:p>
    <w:p w:rsidR="00357FA3" w:rsidRPr="00357FA3" w:rsidRDefault="00357FA3" w:rsidP="00357FA3">
      <w:pPr>
        <w:numPr>
          <w:ilvl w:val="0"/>
          <w:numId w:val="2"/>
        </w:numPr>
        <w:spacing w:before="120" w:after="120" w:line="240" w:lineRule="auto"/>
        <w:ind w:left="567" w:hanging="283"/>
        <w:rPr>
          <w:rFonts w:ascii="Tw Cen MT" w:eastAsia="Times New Roman" w:hAnsi="Tw Cen MT" w:cs="Times New Roman"/>
          <w:color w:val="385623" w:themeColor="accent6" w:themeShade="80"/>
          <w:sz w:val="24"/>
          <w:szCs w:val="24"/>
          <w:lang w:val="en-US"/>
        </w:rPr>
      </w:pPr>
      <w:r w:rsidRPr="00357FA3">
        <w:rPr>
          <w:rFonts w:ascii="Tw Cen MT" w:eastAsia="Times New Roman" w:hAnsi="Tw Cen MT" w:cs="Times New Roman"/>
          <w:color w:val="385623" w:themeColor="accent6" w:themeShade="80"/>
          <w:sz w:val="24"/>
          <w:szCs w:val="24"/>
          <w:lang w:val="en-US"/>
        </w:rPr>
        <w:t>Meeting expected levels of development</w:t>
      </w:r>
    </w:p>
    <w:p w:rsidR="00357FA3" w:rsidRPr="00357FA3" w:rsidRDefault="00357FA3" w:rsidP="00357FA3">
      <w:pPr>
        <w:numPr>
          <w:ilvl w:val="0"/>
          <w:numId w:val="2"/>
        </w:numPr>
        <w:spacing w:before="120" w:after="120" w:line="240" w:lineRule="auto"/>
        <w:ind w:left="567" w:hanging="283"/>
        <w:rPr>
          <w:rFonts w:ascii="Tw Cen MT" w:eastAsia="Times New Roman" w:hAnsi="Tw Cen MT" w:cs="Times New Roman"/>
          <w:color w:val="385623" w:themeColor="accent6" w:themeShade="80"/>
          <w:sz w:val="24"/>
          <w:szCs w:val="24"/>
          <w:lang w:val="en-US"/>
        </w:rPr>
      </w:pPr>
      <w:r w:rsidRPr="00357FA3">
        <w:rPr>
          <w:rFonts w:ascii="Tw Cen MT" w:eastAsia="Times New Roman" w:hAnsi="Tw Cen MT" w:cs="Times New Roman"/>
          <w:color w:val="385623" w:themeColor="accent6" w:themeShade="80"/>
          <w:sz w:val="24"/>
          <w:szCs w:val="24"/>
          <w:lang w:val="en-US"/>
        </w:rPr>
        <w:t>Not yet reaching expected levels (‘emerging’)</w:t>
      </w:r>
    </w:p>
    <w:p w:rsidR="00357FA3" w:rsidRPr="00357FA3" w:rsidRDefault="00357FA3" w:rsidP="00357FA3">
      <w:pPr>
        <w:spacing w:after="120" w:line="240" w:lineRule="auto"/>
        <w:rPr>
          <w:rFonts w:ascii="Tw Cen MT" w:eastAsia="MS Mincho" w:hAnsi="Tw Cen MT" w:cs="Times New Roman"/>
          <w:color w:val="385623" w:themeColor="accent6" w:themeShade="80"/>
          <w:sz w:val="24"/>
          <w:szCs w:val="24"/>
        </w:rPr>
      </w:pPr>
      <w:r w:rsidRPr="00357FA3">
        <w:rPr>
          <w:rFonts w:ascii="Tw Cen MT" w:eastAsia="MS Mincho" w:hAnsi="Tw Cen MT" w:cs="Times New Roman"/>
          <w:color w:val="385623" w:themeColor="accent6" w:themeShade="80"/>
          <w:sz w:val="24"/>
          <w:szCs w:val="24"/>
        </w:rPr>
        <w:lastRenderedPageBreak/>
        <w:t xml:space="preserve">The profile reflects ongoing observations, and discussions with parents and/or carers. The results of the profile are shared with parents and/or carers for their child. </w:t>
      </w:r>
    </w:p>
    <w:p w:rsidR="00357FA3" w:rsidRDefault="00357FA3" w:rsidP="00357FA3">
      <w:pPr>
        <w:spacing w:after="120" w:line="240" w:lineRule="auto"/>
        <w:rPr>
          <w:rFonts w:ascii="Arial" w:eastAsia="MS Mincho" w:hAnsi="Arial" w:cs="Times New Roman"/>
          <w:sz w:val="20"/>
          <w:szCs w:val="24"/>
        </w:rPr>
      </w:pPr>
      <w:r w:rsidRPr="00357FA3">
        <w:rPr>
          <w:rFonts w:ascii="Tw Cen MT" w:eastAsia="MS Mincho" w:hAnsi="Tw Cen MT" w:cs="Times New Roman"/>
          <w:color w:val="385623" w:themeColor="accent6" w:themeShade="80"/>
          <w:sz w:val="24"/>
          <w:szCs w:val="24"/>
        </w:rPr>
        <w:t xml:space="preserve">The profile is moderated internally (referring to the Development Matters </w:t>
      </w:r>
      <w:hyperlink r:id="rId9" w:history="1">
        <w:r w:rsidRPr="00357FA3">
          <w:rPr>
            <w:rFonts w:ascii="Tw Cen MT" w:eastAsia="MS Mincho" w:hAnsi="Tw Cen MT" w:cs="Times New Roman"/>
            <w:color w:val="385623" w:themeColor="accent6" w:themeShade="80"/>
            <w:sz w:val="24"/>
            <w:szCs w:val="24"/>
            <w:u w:val="single"/>
          </w:rPr>
          <w:t>guidance</w:t>
        </w:r>
      </w:hyperlink>
      <w:r w:rsidRPr="00357FA3">
        <w:rPr>
          <w:rFonts w:ascii="Tw Cen MT" w:eastAsia="MS Mincho" w:hAnsi="Tw Cen MT" w:cs="Times New Roman"/>
          <w:color w:val="385623" w:themeColor="accent6" w:themeShade="80"/>
          <w:sz w:val="24"/>
          <w:szCs w:val="24"/>
        </w:rPr>
        <w:t>) and in partnership with other local schools, to ensure consistent assessment judgements. EYFS profile data is submitted to the local authority</w:t>
      </w:r>
      <w:r w:rsidRPr="00357FA3">
        <w:rPr>
          <w:rFonts w:ascii="Arial" w:eastAsia="MS Mincho" w:hAnsi="Arial" w:cs="Times New Roman"/>
          <w:sz w:val="20"/>
          <w:szCs w:val="24"/>
        </w:rPr>
        <w:t xml:space="preserve">.  </w:t>
      </w:r>
    </w:p>
    <w:p w:rsidR="00357FA3" w:rsidRDefault="00357FA3" w:rsidP="00357FA3">
      <w:pPr>
        <w:spacing w:after="120" w:line="240" w:lineRule="auto"/>
        <w:rPr>
          <w:rFonts w:ascii="Tw Cen MT" w:eastAsia="MS Mincho" w:hAnsi="Tw Cen MT" w:cs="Times New Roman"/>
          <w:color w:val="385623" w:themeColor="accent6" w:themeShade="80"/>
          <w:sz w:val="24"/>
          <w:szCs w:val="24"/>
        </w:rPr>
      </w:pPr>
      <w:r>
        <w:rPr>
          <w:rFonts w:ascii="Tw Cen MT" w:eastAsia="MS Mincho" w:hAnsi="Tw Cen MT" w:cs="Times New Roman"/>
          <w:color w:val="385623" w:themeColor="accent6" w:themeShade="80"/>
          <w:sz w:val="24"/>
          <w:szCs w:val="24"/>
        </w:rPr>
        <w:t>Teacher assessment is carried out half termly and tracked using Insight. Termly, the EYFS lead completes a report to check progress and attainment and plan next steps, interventions and adaptations to address any trends. Pupil progress meetings happen twice annually to share progress with senior leaders and discuss ideas to make further improvements. A transition meeting happens in Sumer 2 term to discuss the children as individuals and aid the hand over to the Year 1 teacher.</w:t>
      </w:r>
    </w:p>
    <w:p w:rsidR="00357FA3" w:rsidRPr="00357FA3" w:rsidRDefault="00357FA3" w:rsidP="00357FA3">
      <w:pPr>
        <w:spacing w:after="120" w:line="240" w:lineRule="auto"/>
        <w:rPr>
          <w:rFonts w:ascii="Tw Cen MT" w:eastAsia="MS Mincho" w:hAnsi="Tw Cen MT" w:cs="Times New Roman"/>
          <w:color w:val="385623" w:themeColor="accent6" w:themeShade="80"/>
          <w:sz w:val="24"/>
          <w:szCs w:val="24"/>
        </w:rPr>
      </w:pPr>
      <w:r>
        <w:rPr>
          <w:rFonts w:ascii="Tw Cen MT" w:eastAsia="MS Mincho" w:hAnsi="Tw Cen MT" w:cs="Times New Roman"/>
          <w:color w:val="385623" w:themeColor="accent6" w:themeShade="80"/>
          <w:sz w:val="24"/>
          <w:szCs w:val="24"/>
        </w:rPr>
        <w:t xml:space="preserve">Parents consultations are scheduled 3 times per year and a formal report is written in Summer 2 which focuses upon the Characteristics of Effective learning. </w:t>
      </w:r>
    </w:p>
    <w:p w:rsidR="00357FA3" w:rsidRDefault="005073CD" w:rsidP="00171D3E">
      <w:pPr>
        <w:rPr>
          <w:rFonts w:ascii="Tw Cen MT" w:hAnsi="Tw Cen MT"/>
          <w:b/>
          <w:color w:val="385623" w:themeColor="accent6" w:themeShade="80"/>
          <w:sz w:val="24"/>
          <w:szCs w:val="24"/>
        </w:rPr>
      </w:pPr>
      <w:r>
        <w:rPr>
          <w:rFonts w:ascii="Tw Cen MT" w:hAnsi="Tw Cen MT"/>
          <w:b/>
          <w:color w:val="385623" w:themeColor="accent6" w:themeShade="80"/>
          <w:sz w:val="24"/>
          <w:szCs w:val="24"/>
        </w:rPr>
        <w:t>Cultural Capital</w:t>
      </w:r>
    </w:p>
    <w:p w:rsidR="005073CD" w:rsidRDefault="00171D3E" w:rsidP="00171D3E">
      <w:pPr>
        <w:rPr>
          <w:rFonts w:ascii="Tw Cen MT" w:hAnsi="Tw Cen MT"/>
          <w:color w:val="385623" w:themeColor="accent6" w:themeShade="80"/>
          <w:sz w:val="24"/>
          <w:szCs w:val="24"/>
        </w:rPr>
      </w:pPr>
      <w:r w:rsidRPr="00171D3E">
        <w:rPr>
          <w:rFonts w:ascii="Tw Cen MT" w:hAnsi="Tw Cen MT"/>
          <w:color w:val="385623" w:themeColor="accent6" w:themeShade="80"/>
          <w:sz w:val="24"/>
          <w:szCs w:val="24"/>
        </w:rPr>
        <w:t xml:space="preserve">Children have opportunities to </w:t>
      </w:r>
      <w:r w:rsidR="005073CD">
        <w:rPr>
          <w:rFonts w:ascii="Tw Cen MT" w:hAnsi="Tw Cen MT"/>
          <w:color w:val="385623" w:themeColor="accent6" w:themeShade="80"/>
          <w:sz w:val="24"/>
          <w:szCs w:val="24"/>
        </w:rPr>
        <w:t xml:space="preserve">be a part of the wider school and village community. We visit local areas, select excursions to enhance the curriculum, visit the library, meet with the elderly at the local care home regularly and have a wide variety of visitors into school to enrich the children’s experiences. </w:t>
      </w:r>
    </w:p>
    <w:p w:rsidR="00171D3E" w:rsidRPr="00171D3E" w:rsidRDefault="00171D3E" w:rsidP="00171D3E">
      <w:pPr>
        <w:rPr>
          <w:rFonts w:ascii="Tw Cen MT" w:hAnsi="Tw Cen MT"/>
          <w:b/>
          <w:color w:val="385623" w:themeColor="accent6" w:themeShade="80"/>
          <w:sz w:val="24"/>
          <w:szCs w:val="24"/>
        </w:rPr>
      </w:pPr>
      <w:r w:rsidRPr="00171D3E">
        <w:rPr>
          <w:rFonts w:ascii="Tw Cen MT" w:hAnsi="Tw Cen MT"/>
          <w:b/>
          <w:color w:val="385623" w:themeColor="accent6" w:themeShade="80"/>
          <w:sz w:val="24"/>
          <w:szCs w:val="24"/>
        </w:rPr>
        <w:t xml:space="preserve">Dyslexic Friendly School </w:t>
      </w:r>
    </w:p>
    <w:p w:rsidR="009A2524" w:rsidRDefault="005073CD" w:rsidP="009A2524">
      <w:pPr>
        <w:rPr>
          <w:rFonts w:ascii="Tw Cen MT" w:hAnsi="Tw Cen MT"/>
          <w:color w:val="385623" w:themeColor="accent6" w:themeShade="80"/>
          <w:sz w:val="24"/>
          <w:szCs w:val="24"/>
        </w:rPr>
      </w:pPr>
      <w:r>
        <w:rPr>
          <w:rFonts w:ascii="Tw Cen MT" w:hAnsi="Tw Cen MT"/>
          <w:color w:val="385623" w:themeColor="accent6" w:themeShade="80"/>
          <w:sz w:val="24"/>
          <w:szCs w:val="24"/>
        </w:rPr>
        <w:t xml:space="preserve">Whilst our youngest children may not be able to be formally assessed or diagnosed as dyslexic, our teaching approaches aim to assist those with potential limitations in this area. We use strategies to limit visual stress, ensure our instructions are clearly explained and reiterated in visual form using visual timetables for all learners. </w:t>
      </w:r>
    </w:p>
    <w:p w:rsidR="005073CD" w:rsidRDefault="005073CD" w:rsidP="005073CD">
      <w:pPr>
        <w:rPr>
          <w:rFonts w:ascii="Tw Cen MT" w:hAnsi="Tw Cen MT"/>
          <w:color w:val="385623" w:themeColor="accent6" w:themeShade="80"/>
          <w:sz w:val="24"/>
          <w:szCs w:val="24"/>
        </w:rPr>
      </w:pPr>
      <w:r w:rsidRPr="005073CD">
        <w:rPr>
          <w:rFonts w:ascii="Tw Cen MT" w:hAnsi="Tw Cen MT"/>
          <w:b/>
          <w:color w:val="385623" w:themeColor="accent6" w:themeShade="80"/>
          <w:sz w:val="24"/>
          <w:szCs w:val="24"/>
        </w:rPr>
        <w:t>Review</w:t>
      </w:r>
      <w:r w:rsidRPr="005073CD">
        <w:rPr>
          <w:rFonts w:ascii="Tw Cen MT" w:hAnsi="Tw Cen MT"/>
          <w:color w:val="385623" w:themeColor="accent6" w:themeShade="80"/>
          <w:sz w:val="24"/>
          <w:szCs w:val="24"/>
        </w:rPr>
        <w:t xml:space="preserve"> </w:t>
      </w:r>
    </w:p>
    <w:p w:rsidR="005073CD" w:rsidRPr="005073CD" w:rsidRDefault="005073CD" w:rsidP="005073CD">
      <w:pPr>
        <w:rPr>
          <w:rFonts w:ascii="Tw Cen MT" w:hAnsi="Tw Cen MT"/>
          <w:color w:val="385623" w:themeColor="accent6" w:themeShade="80"/>
          <w:sz w:val="24"/>
          <w:szCs w:val="24"/>
        </w:rPr>
      </w:pPr>
      <w:r>
        <w:rPr>
          <w:rFonts w:ascii="Tw Cen MT" w:hAnsi="Tw Cen MT"/>
          <w:color w:val="385623" w:themeColor="accent6" w:themeShade="80"/>
          <w:sz w:val="24"/>
          <w:szCs w:val="24"/>
        </w:rPr>
        <w:t xml:space="preserve">This </w:t>
      </w:r>
      <w:r w:rsidRPr="005073CD">
        <w:rPr>
          <w:rFonts w:ascii="Tw Cen MT" w:hAnsi="Tw Cen MT"/>
          <w:color w:val="385623" w:themeColor="accent6" w:themeShade="80"/>
          <w:sz w:val="24"/>
          <w:szCs w:val="24"/>
        </w:rPr>
        <w:t>statemen</w:t>
      </w:r>
      <w:bookmarkStart w:id="0" w:name="_GoBack"/>
      <w:bookmarkEnd w:id="0"/>
      <w:r w:rsidRPr="005073CD">
        <w:rPr>
          <w:rFonts w:ascii="Tw Cen MT" w:hAnsi="Tw Cen MT"/>
          <w:color w:val="385623" w:themeColor="accent6" w:themeShade="80"/>
          <w:sz w:val="24"/>
          <w:szCs w:val="24"/>
        </w:rPr>
        <w:t>t will be reviewed regularly in order to reflect current trends and practice.</w:t>
      </w:r>
    </w:p>
    <w:sectPr w:rsidR="005073CD" w:rsidRPr="005073CD" w:rsidSect="009A2524">
      <w:headerReference w:type="default" r:id="rId10"/>
      <w:pgSz w:w="11906" w:h="16838"/>
      <w:pgMar w:top="1077" w:right="113" w:bottom="284" w:left="284"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524" w:rsidRDefault="009A2524" w:rsidP="009A2524">
      <w:pPr>
        <w:spacing w:after="0" w:line="240" w:lineRule="auto"/>
      </w:pPr>
      <w:r>
        <w:separator/>
      </w:r>
    </w:p>
  </w:endnote>
  <w:endnote w:type="continuationSeparator" w:id="0">
    <w:p w:rsidR="009A2524" w:rsidRDefault="009A2524" w:rsidP="009A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Mincho">
    <w:altName w:val="‚l‚r –¾’©"/>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524" w:rsidRDefault="009A2524" w:rsidP="009A2524">
      <w:pPr>
        <w:spacing w:after="0" w:line="240" w:lineRule="auto"/>
      </w:pPr>
      <w:r>
        <w:separator/>
      </w:r>
    </w:p>
  </w:footnote>
  <w:footnote w:type="continuationSeparator" w:id="0">
    <w:p w:rsidR="009A2524" w:rsidRDefault="009A2524" w:rsidP="009A2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524" w:rsidRDefault="009A2524">
    <w:pPr>
      <w:pStyle w:val="Header"/>
    </w:pPr>
    <w:r w:rsidRPr="009A2524">
      <w:rPr>
        <w:noProof/>
        <w:lang w:eastAsia="en-GB"/>
      </w:rPr>
      <w:drawing>
        <wp:inline distT="0" distB="0" distL="0" distR="0" wp14:anchorId="42408AAA" wp14:editId="570C9ADE">
          <wp:extent cx="7199630" cy="1198245"/>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99630" cy="11982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60125"/>
    <w:multiLevelType w:val="hybridMultilevel"/>
    <w:tmpl w:val="A42EE57E"/>
    <w:lvl w:ilvl="0" w:tplc="A4DE72A4">
      <w:start w:val="1"/>
      <w:numFmt w:val="bullet"/>
      <w:pStyle w:val="Header"/>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7C7443D3"/>
    <w:multiLevelType w:val="hybridMultilevel"/>
    <w:tmpl w:val="7A00E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hdrShapeDefaults>
    <o:shapedefaults v:ext="edit" spidmax="8193">
      <o:colormenu v:ext="edit" fillcolor="none [66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24"/>
    <w:rsid w:val="000907B1"/>
    <w:rsid w:val="00171D3E"/>
    <w:rsid w:val="00174B67"/>
    <w:rsid w:val="00174F53"/>
    <w:rsid w:val="001B195D"/>
    <w:rsid w:val="00357FA3"/>
    <w:rsid w:val="00424FC3"/>
    <w:rsid w:val="005073CD"/>
    <w:rsid w:val="009A2524"/>
    <w:rsid w:val="00A31FE6"/>
    <w:rsid w:val="00D94DB0"/>
    <w:rsid w:val="00DC6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665]"/>
    </o:shapedefaults>
    <o:shapelayout v:ext="edit">
      <o:idmap v:ext="edit" data="1"/>
    </o:shapelayout>
  </w:shapeDefaults>
  <w:decimalSymbol w:val="."/>
  <w:listSeparator w:val=","/>
  <w14:docId w14:val="086BA9F7"/>
  <w15:chartTrackingRefBased/>
  <w15:docId w15:val="{4B44C211-5828-4CCB-9BFA-E5931F3E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5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2524"/>
  </w:style>
  <w:style w:type="paragraph" w:styleId="Footer">
    <w:name w:val="footer"/>
    <w:basedOn w:val="Normal"/>
    <w:link w:val="FooterChar"/>
    <w:uiPriority w:val="99"/>
    <w:unhideWhenUsed/>
    <w:rsid w:val="009A2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2524"/>
  </w:style>
  <w:style w:type="paragraph" w:styleId="ListParagraph">
    <w:name w:val="List Paragraph"/>
    <w:basedOn w:val="Normal"/>
    <w:uiPriority w:val="34"/>
    <w:qFormat/>
    <w:rsid w:val="00171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oundation-stage-framework--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development-matters--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3839</TotalTime>
  <Pages>3</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Anderson</dc:creator>
  <cp:keywords/>
  <dc:description/>
  <cp:lastModifiedBy>Mrs Woodward</cp:lastModifiedBy>
  <cp:revision>3</cp:revision>
  <cp:lastPrinted>2021-11-30T14:28:00Z</cp:lastPrinted>
  <dcterms:created xsi:type="dcterms:W3CDTF">2022-01-20T20:17:00Z</dcterms:created>
  <dcterms:modified xsi:type="dcterms:W3CDTF">2022-01-23T12:15:00Z</dcterms:modified>
</cp:coreProperties>
</file>