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78233" w14:textId="3BF1B2E3" w:rsidR="00915068" w:rsidRPr="0046702C" w:rsidRDefault="0046702C" w:rsidP="00970F97">
      <w:pPr>
        <w:rPr>
          <w:color w:val="538135" w:themeColor="accent6" w:themeShade="BF"/>
        </w:rPr>
      </w:pPr>
      <w:r w:rsidRPr="0046702C">
        <w:rPr>
          <w:noProof/>
          <w:color w:val="538135" w:themeColor="accent6" w:themeShade="BF"/>
        </w:rPr>
        <w:drawing>
          <wp:inline distT="0" distB="0" distL="0" distR="0" wp14:anchorId="18EC3DDB" wp14:editId="334A1418">
            <wp:extent cx="6048375" cy="2895600"/>
            <wp:effectExtent l="0" t="0" r="0" b="0"/>
            <wp:docPr id="17002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2895600"/>
                    </a:xfrm>
                    <a:prstGeom prst="rect">
                      <a:avLst/>
                    </a:prstGeom>
                    <a:noFill/>
                    <a:ln>
                      <a:noFill/>
                    </a:ln>
                  </pic:spPr>
                </pic:pic>
              </a:graphicData>
            </a:graphic>
          </wp:inline>
        </w:drawing>
      </w:r>
    </w:p>
    <w:p w14:paraId="3E9B3182" w14:textId="77777777" w:rsidR="0046702C" w:rsidRPr="0046702C" w:rsidRDefault="0046702C" w:rsidP="00970F97">
      <w:pPr>
        <w:rPr>
          <w:color w:val="538135" w:themeColor="accent6" w:themeShade="BF"/>
        </w:rPr>
      </w:pPr>
    </w:p>
    <w:p w14:paraId="0DB4A95E" w14:textId="77777777" w:rsidR="0046702C" w:rsidRPr="0046702C" w:rsidRDefault="0046702C" w:rsidP="00970F97">
      <w:pPr>
        <w:rPr>
          <w:color w:val="538135" w:themeColor="accent6" w:themeShade="BF"/>
        </w:rPr>
      </w:pPr>
    </w:p>
    <w:p w14:paraId="281444A5" w14:textId="77777777" w:rsidR="0046702C" w:rsidRPr="0046702C" w:rsidRDefault="0046702C" w:rsidP="00970F97">
      <w:pPr>
        <w:rPr>
          <w:color w:val="538135" w:themeColor="accent6" w:themeShade="BF"/>
        </w:rPr>
      </w:pPr>
    </w:p>
    <w:p w14:paraId="24A27A2E" w14:textId="10E6CD88" w:rsidR="007934AF" w:rsidRPr="0046702C" w:rsidRDefault="00915068" w:rsidP="00915068">
      <w:pPr>
        <w:pStyle w:val="EPMPolicyTitle"/>
        <w:spacing w:after="240" w:line="880" w:lineRule="exact"/>
        <w:jc w:val="center"/>
        <w:rPr>
          <w:rFonts w:ascii="Century Gothic" w:hAnsi="Century Gothic"/>
          <w:color w:val="538135" w:themeColor="accent6" w:themeShade="BF"/>
        </w:rPr>
      </w:pPr>
      <w:r w:rsidRPr="0046702C">
        <w:rPr>
          <w:rFonts w:ascii="Century Gothic" w:hAnsi="Century Gothic"/>
          <w:color w:val="538135" w:themeColor="accent6" w:themeShade="BF"/>
        </w:rPr>
        <w:t>A</w:t>
      </w:r>
      <w:r w:rsidR="009B3226" w:rsidRPr="0046702C">
        <w:rPr>
          <w:rFonts w:ascii="Century Gothic" w:hAnsi="Century Gothic"/>
          <w:color w:val="538135" w:themeColor="accent6" w:themeShade="BF"/>
        </w:rPr>
        <w:t xml:space="preserve">CT Academy Trust </w:t>
      </w:r>
      <w:r w:rsidR="7BCCC0E6" w:rsidRPr="0046702C">
        <w:rPr>
          <w:rFonts w:ascii="Century Gothic" w:hAnsi="Century Gothic"/>
          <w:color w:val="538135" w:themeColor="accent6" w:themeShade="BF"/>
        </w:rPr>
        <w:t>Pay Policy 202</w:t>
      </w:r>
      <w:r w:rsidR="4AE55DCF" w:rsidRPr="0046702C">
        <w:rPr>
          <w:rFonts w:ascii="Century Gothic" w:hAnsi="Century Gothic"/>
          <w:color w:val="538135" w:themeColor="accent6" w:themeShade="BF"/>
        </w:rPr>
        <w:t>3</w:t>
      </w:r>
    </w:p>
    <w:p w14:paraId="2238843A" w14:textId="77777777" w:rsidR="0046702C" w:rsidRPr="0046702C" w:rsidRDefault="0046702C" w:rsidP="00915068">
      <w:pPr>
        <w:pStyle w:val="EPMPolicyTitle"/>
        <w:spacing w:after="240" w:line="880" w:lineRule="exact"/>
        <w:jc w:val="center"/>
        <w:rPr>
          <w:rFonts w:ascii="Century Gothic" w:hAnsi="Century Gothic"/>
          <w:color w:val="538135" w:themeColor="accent6" w:themeShade="BF"/>
        </w:rPr>
      </w:pPr>
    </w:p>
    <w:p w14:paraId="0835EA7D" w14:textId="0B136A26" w:rsidR="007934AF" w:rsidRPr="0046702C" w:rsidRDefault="009B3226" w:rsidP="002E1D87">
      <w:pPr>
        <w:pStyle w:val="EPMTextstyle"/>
        <w:spacing w:before="720"/>
        <w:jc w:val="center"/>
        <w:rPr>
          <w:rFonts w:ascii="Century Gothic" w:hAnsi="Century Gothic"/>
          <w:color w:val="538135" w:themeColor="accent6" w:themeShade="BF"/>
          <w:sz w:val="56"/>
          <w:szCs w:val="56"/>
        </w:rPr>
      </w:pPr>
      <w:r w:rsidRPr="0046702C">
        <w:rPr>
          <w:rFonts w:ascii="Century Gothic" w:hAnsi="Century Gothic"/>
          <w:color w:val="538135" w:themeColor="accent6" w:themeShade="BF"/>
          <w:sz w:val="56"/>
          <w:szCs w:val="56"/>
        </w:rPr>
        <w:t>(Please insert school name here)</w:t>
      </w:r>
    </w:p>
    <w:p w14:paraId="44FF1229" w14:textId="3BE629D0" w:rsidR="00D55A17" w:rsidRPr="0046702C" w:rsidRDefault="002E1D87" w:rsidP="002E1D87">
      <w:pPr>
        <w:pStyle w:val="EPMPageHeading"/>
        <w:jc w:val="center"/>
        <w:rPr>
          <w:color w:val="538135" w:themeColor="accent6" w:themeShade="BF"/>
        </w:rPr>
      </w:pPr>
      <w:r w:rsidRPr="0046702C">
        <w:rPr>
          <w:color w:val="538135" w:themeColor="accent6" w:themeShade="BF"/>
        </w:rPr>
        <w:t>(please insert Logo here</w:t>
      </w:r>
    </w:p>
    <w:p w14:paraId="4B2499F3" w14:textId="77777777" w:rsidR="00915068" w:rsidRPr="0046702C" w:rsidRDefault="00915068" w:rsidP="00B56C3C">
      <w:pPr>
        <w:pStyle w:val="EPMPageHeading"/>
        <w:rPr>
          <w:color w:val="538135" w:themeColor="accent6" w:themeShade="BF"/>
        </w:rPr>
      </w:pPr>
      <w:bookmarkStart w:id="0" w:name="_Toc129872983"/>
    </w:p>
    <w:p w14:paraId="0F5751A2" w14:textId="77777777" w:rsidR="002E1D87" w:rsidRPr="0046702C" w:rsidRDefault="002E1D87" w:rsidP="00B56C3C">
      <w:pPr>
        <w:pStyle w:val="EPMPageHeading"/>
        <w:rPr>
          <w:color w:val="538135" w:themeColor="accent6" w:themeShade="BF"/>
        </w:rPr>
      </w:pPr>
    </w:p>
    <w:p w14:paraId="68CB92FC" w14:textId="77777777" w:rsidR="002E1D87" w:rsidRPr="0046702C" w:rsidRDefault="002E1D87" w:rsidP="00B56C3C">
      <w:pPr>
        <w:pStyle w:val="EPMPageHeading"/>
        <w:rPr>
          <w:color w:val="538135" w:themeColor="accent6" w:themeShade="BF"/>
        </w:rPr>
      </w:pPr>
    </w:p>
    <w:p w14:paraId="1D68EB80" w14:textId="77777777" w:rsidR="0046702C" w:rsidRPr="0046702C" w:rsidRDefault="0046702C" w:rsidP="00B56C3C">
      <w:pPr>
        <w:pStyle w:val="EPMPageHeading"/>
        <w:rPr>
          <w:color w:val="538135" w:themeColor="accent6" w:themeShade="BF"/>
        </w:rPr>
      </w:pPr>
    </w:p>
    <w:p w14:paraId="17033AD8" w14:textId="77777777" w:rsidR="0046702C" w:rsidRPr="0046702C" w:rsidRDefault="0046702C" w:rsidP="00B56C3C">
      <w:pPr>
        <w:pStyle w:val="EPMPageHeading"/>
        <w:rPr>
          <w:color w:val="538135" w:themeColor="accent6" w:themeShade="BF"/>
        </w:rPr>
      </w:pPr>
    </w:p>
    <w:p w14:paraId="64D5680F" w14:textId="77777777" w:rsidR="0046702C" w:rsidRPr="0046702C" w:rsidRDefault="0046702C" w:rsidP="00B56C3C">
      <w:pPr>
        <w:pStyle w:val="EPMPageHeading"/>
        <w:rPr>
          <w:color w:val="538135" w:themeColor="accent6" w:themeShade="BF"/>
        </w:rPr>
      </w:pPr>
    </w:p>
    <w:p w14:paraId="7FF3D64A" w14:textId="77777777" w:rsidR="0046702C" w:rsidRPr="0046702C" w:rsidRDefault="0046702C" w:rsidP="00B56C3C">
      <w:pPr>
        <w:pStyle w:val="EPMPageHeading"/>
        <w:rPr>
          <w:color w:val="538135" w:themeColor="accent6" w:themeShade="BF"/>
        </w:rPr>
      </w:pPr>
    </w:p>
    <w:p w14:paraId="2D776A0C" w14:textId="77777777" w:rsidR="0046702C" w:rsidRPr="0046702C" w:rsidRDefault="0046702C" w:rsidP="00B56C3C">
      <w:pPr>
        <w:pStyle w:val="EPMPageHeading"/>
        <w:rPr>
          <w:color w:val="538135" w:themeColor="accent6" w:themeShade="BF"/>
        </w:rPr>
      </w:pPr>
    </w:p>
    <w:p w14:paraId="76F598CD" w14:textId="4870E113" w:rsidR="00D55A17" w:rsidRPr="0046702C" w:rsidRDefault="00566160" w:rsidP="00B56C3C">
      <w:pPr>
        <w:pStyle w:val="EPMPageHeading"/>
        <w:rPr>
          <w:color w:val="538135" w:themeColor="accent6" w:themeShade="BF"/>
        </w:rPr>
      </w:pPr>
      <w:r w:rsidRPr="0046702C">
        <w:rPr>
          <w:noProof/>
          <w:color w:val="538135" w:themeColor="accent6" w:themeShade="BF"/>
          <w:lang w:eastAsia="en-GB"/>
        </w:rPr>
        <mc:AlternateContent>
          <mc:Choice Requires="wps">
            <w:drawing>
              <wp:anchor distT="0" distB="0" distL="114300" distR="114300" simplePos="0" relativeHeight="251658242" behindDoc="0" locked="0" layoutInCell="1" allowOverlap="1" wp14:anchorId="1146E2E1" wp14:editId="1560609F">
                <wp:simplePos x="0" y="0"/>
                <wp:positionH relativeFrom="page">
                  <wp:posOffset>-333375</wp:posOffset>
                </wp:positionH>
                <wp:positionV relativeFrom="paragraph">
                  <wp:posOffset>3973830</wp:posOffset>
                </wp:positionV>
                <wp:extent cx="926465" cy="462915"/>
                <wp:effectExtent l="3175" t="0" r="3810" b="3810"/>
                <wp:wrapNone/>
                <wp:docPr id="4" name="Isosceles Triangle 4"/>
                <wp:cNvGraphicFramePr/>
                <a:graphic xmlns:a="http://schemas.openxmlformats.org/drawingml/2006/main">
                  <a:graphicData uri="http://schemas.microsoft.com/office/word/2010/wordprocessingShape">
                    <wps:wsp>
                      <wps:cNvSpPr/>
                      <wps:spPr>
                        <a:xfrm rot="5400000">
                          <a:off x="0" y="0"/>
                          <a:ext cx="926465" cy="4629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6E9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26.25pt;margin-top:312.9pt;width:72.95pt;height:36.45pt;rotation:90;z-index:25165824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" fillcolor="white [3212]" stroked="f" strokeweight="1pt">
                <v:textbox inset="0,0,0,0"/>
                <w10:wrap anchorx="page"/>
              </v:shape>
            </w:pict>
          </mc:Fallback>
        </mc:AlternateContent>
      </w:r>
      <w:bookmarkEnd w:id="0"/>
    </w:p>
    <w:p w14:paraId="5B572084" w14:textId="3DB51917" w:rsidR="0026127B" w:rsidRPr="0046702C" w:rsidRDefault="0026127B" w:rsidP="00B56C3C">
      <w:pPr>
        <w:pStyle w:val="EPMPageHeading"/>
        <w:rPr>
          <w:rStyle w:val="Hyperlink"/>
          <w:color w:val="538135" w:themeColor="accent6" w:themeShade="BF"/>
        </w:rPr>
      </w:pPr>
    </w:p>
    <w:p w14:paraId="7FB446B3" w14:textId="5565F99A" w:rsidR="00915068" w:rsidRPr="0046702C" w:rsidRDefault="00915068" w:rsidP="00915068">
      <w:pPr>
        <w:pStyle w:val="EPMPageHeading"/>
        <w:tabs>
          <w:tab w:val="left" w:pos="567"/>
        </w:tabs>
        <w:rPr>
          <w:color w:val="538135" w:themeColor="accent6" w:themeShade="BF"/>
        </w:rPr>
      </w:pPr>
      <w:r w:rsidRPr="0046702C">
        <w:rPr>
          <w:color w:val="538135" w:themeColor="accent6" w:themeShade="BF"/>
        </w:rPr>
        <w:lastRenderedPageBreak/>
        <w:t>Version Control</w:t>
      </w:r>
    </w:p>
    <w:tbl>
      <w:tblPr>
        <w:tblStyle w:val="EPMTableStyle"/>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90"/>
        <w:gridCol w:w="1023"/>
        <w:gridCol w:w="5461"/>
        <w:gridCol w:w="1990"/>
      </w:tblGrid>
      <w:tr w:rsidR="0046702C" w:rsidRPr="0046702C" w14:paraId="50134653" w14:textId="77777777" w:rsidTr="00713C9F">
        <w:trPr>
          <w:cnfStyle w:val="100000000000" w:firstRow="1" w:lastRow="0" w:firstColumn="0" w:lastColumn="0" w:oddVBand="0" w:evenVBand="0" w:oddHBand="0" w:evenHBand="0" w:firstRowFirstColumn="0" w:firstRowLastColumn="0" w:lastRowFirstColumn="0" w:lastRowLastColumn="0"/>
          <w:trHeight w:val="300"/>
        </w:trPr>
        <w:tc>
          <w:tcPr>
            <w:tcW w:w="1590" w:type="dxa"/>
            <w:tcBorders>
              <w:top w:val="single" w:sz="2" w:space="0" w:color="auto"/>
              <w:left w:val="single" w:sz="2" w:space="0" w:color="auto"/>
              <w:bottom w:val="single" w:sz="2" w:space="0" w:color="auto"/>
              <w:right w:val="single" w:sz="2" w:space="0" w:color="auto"/>
            </w:tcBorders>
            <w:shd w:val="clear" w:color="auto" w:fill="F0F0EB"/>
          </w:tcPr>
          <w:p w14:paraId="42092C2D" w14:textId="77777777" w:rsidR="00915068" w:rsidRPr="0046702C" w:rsidRDefault="00915068" w:rsidP="00822ABA">
            <w:pPr>
              <w:rPr>
                <w:rFonts w:cs="Arial"/>
                <w:color w:val="538135" w:themeColor="accent6" w:themeShade="BF"/>
              </w:rPr>
            </w:pPr>
            <w:r w:rsidRPr="0046702C">
              <w:rPr>
                <w:rFonts w:cs="Arial"/>
                <w:color w:val="538135" w:themeColor="accent6" w:themeShade="BF"/>
                <w:sz w:val="22"/>
                <w:szCs w:val="22"/>
              </w:rPr>
              <w:t>Date</w:t>
            </w:r>
          </w:p>
        </w:tc>
        <w:tc>
          <w:tcPr>
            <w:tcW w:w="1023" w:type="dxa"/>
            <w:tcBorders>
              <w:top w:val="single" w:sz="2" w:space="0" w:color="auto"/>
              <w:left w:val="single" w:sz="2" w:space="0" w:color="auto"/>
              <w:bottom w:val="single" w:sz="2" w:space="0" w:color="auto"/>
              <w:right w:val="single" w:sz="2" w:space="0" w:color="auto"/>
            </w:tcBorders>
            <w:shd w:val="clear" w:color="auto" w:fill="F0F0EB"/>
          </w:tcPr>
          <w:p w14:paraId="74F08A98" w14:textId="77777777" w:rsidR="00915068" w:rsidRPr="0046702C" w:rsidRDefault="00915068" w:rsidP="00822ABA">
            <w:pPr>
              <w:rPr>
                <w:rFonts w:cs="Arial"/>
                <w:color w:val="538135" w:themeColor="accent6" w:themeShade="BF"/>
              </w:rPr>
            </w:pPr>
            <w:r w:rsidRPr="0046702C">
              <w:rPr>
                <w:rFonts w:cs="Arial"/>
                <w:color w:val="538135" w:themeColor="accent6" w:themeShade="BF"/>
                <w:sz w:val="22"/>
                <w:szCs w:val="22"/>
              </w:rPr>
              <w:t>Version</w:t>
            </w:r>
          </w:p>
        </w:tc>
        <w:tc>
          <w:tcPr>
            <w:tcW w:w="5461" w:type="dxa"/>
            <w:tcBorders>
              <w:top w:val="single" w:sz="2" w:space="0" w:color="auto"/>
              <w:left w:val="single" w:sz="2" w:space="0" w:color="auto"/>
              <w:bottom w:val="single" w:sz="2" w:space="0" w:color="auto"/>
              <w:right w:val="single" w:sz="2" w:space="0" w:color="auto"/>
            </w:tcBorders>
            <w:shd w:val="clear" w:color="auto" w:fill="F0F0EB"/>
          </w:tcPr>
          <w:p w14:paraId="4B01D7AA" w14:textId="77777777" w:rsidR="00915068" w:rsidRPr="0046702C" w:rsidRDefault="00915068" w:rsidP="00822ABA">
            <w:pPr>
              <w:rPr>
                <w:rFonts w:cs="Arial"/>
                <w:color w:val="538135" w:themeColor="accent6" w:themeShade="BF"/>
              </w:rPr>
            </w:pPr>
            <w:r w:rsidRPr="0046702C">
              <w:rPr>
                <w:rFonts w:cs="Arial"/>
                <w:color w:val="538135" w:themeColor="accent6" w:themeShade="BF"/>
                <w:sz w:val="22"/>
                <w:szCs w:val="22"/>
              </w:rPr>
              <w:t>Amendments/Comments</w:t>
            </w:r>
          </w:p>
        </w:tc>
        <w:tc>
          <w:tcPr>
            <w:tcW w:w="1990" w:type="dxa"/>
            <w:tcBorders>
              <w:top w:val="single" w:sz="2" w:space="0" w:color="auto"/>
              <w:left w:val="single" w:sz="2" w:space="0" w:color="auto"/>
              <w:bottom w:val="single" w:sz="2" w:space="0" w:color="auto"/>
              <w:right w:val="single" w:sz="2" w:space="0" w:color="auto"/>
            </w:tcBorders>
            <w:shd w:val="clear" w:color="auto" w:fill="F0F0EB"/>
          </w:tcPr>
          <w:p w14:paraId="20BB64B5" w14:textId="77777777" w:rsidR="00915068" w:rsidRPr="0046702C" w:rsidRDefault="00915068" w:rsidP="00822ABA">
            <w:pPr>
              <w:rPr>
                <w:rFonts w:cs="Arial"/>
                <w:color w:val="538135" w:themeColor="accent6" w:themeShade="BF"/>
                <w:sz w:val="22"/>
                <w:szCs w:val="22"/>
              </w:rPr>
            </w:pPr>
            <w:r w:rsidRPr="0046702C">
              <w:rPr>
                <w:rFonts w:cs="Arial"/>
                <w:color w:val="538135" w:themeColor="accent6" w:themeShade="BF"/>
                <w:sz w:val="22"/>
                <w:szCs w:val="22"/>
              </w:rPr>
              <w:t>Reviewer/s</w:t>
            </w:r>
          </w:p>
        </w:tc>
      </w:tr>
      <w:tr w:rsidR="0046702C" w:rsidRPr="0046702C" w14:paraId="12C710CD" w14:textId="77777777" w:rsidTr="00713C9F">
        <w:trPr>
          <w:trHeight w:val="300"/>
        </w:trPr>
        <w:tc>
          <w:tcPr>
            <w:tcW w:w="1590" w:type="dxa"/>
            <w:tcBorders>
              <w:top w:val="single" w:sz="2" w:space="0" w:color="auto"/>
              <w:bottom w:val="single" w:sz="2" w:space="0" w:color="auto"/>
            </w:tcBorders>
            <w:shd w:val="clear" w:color="auto" w:fill="FFFFFF" w:themeFill="background1"/>
          </w:tcPr>
          <w:p w14:paraId="0E7DBE70" w14:textId="7409F001" w:rsidR="00915068" w:rsidRPr="0046702C" w:rsidRDefault="00AA762A" w:rsidP="00822ABA">
            <w:pPr>
              <w:rPr>
                <w:rFonts w:cs="Arial"/>
                <w:b w:val="0"/>
                <w:color w:val="538135" w:themeColor="accent6" w:themeShade="BF"/>
                <w:sz w:val="21"/>
                <w:szCs w:val="21"/>
              </w:rPr>
            </w:pPr>
            <w:r w:rsidRPr="0046702C">
              <w:rPr>
                <w:rFonts w:cs="Arial"/>
                <w:b w:val="0"/>
                <w:color w:val="538135" w:themeColor="accent6" w:themeShade="BF"/>
                <w:sz w:val="21"/>
                <w:szCs w:val="21"/>
              </w:rPr>
              <w:t>October 2023</w:t>
            </w:r>
          </w:p>
        </w:tc>
        <w:tc>
          <w:tcPr>
            <w:tcW w:w="1023" w:type="dxa"/>
            <w:tcBorders>
              <w:top w:val="single" w:sz="2" w:space="0" w:color="auto"/>
              <w:bottom w:val="single" w:sz="2" w:space="0" w:color="auto"/>
            </w:tcBorders>
            <w:shd w:val="clear" w:color="auto" w:fill="FFFFFF" w:themeFill="background1"/>
          </w:tcPr>
          <w:p w14:paraId="08FF91D4" w14:textId="17227251" w:rsidR="00915068" w:rsidRPr="0046702C" w:rsidRDefault="00AA762A" w:rsidP="00822ABA">
            <w:pPr>
              <w:rPr>
                <w:rFonts w:cs="Arial"/>
                <w:b w:val="0"/>
                <w:color w:val="538135" w:themeColor="accent6" w:themeShade="BF"/>
                <w:sz w:val="21"/>
                <w:szCs w:val="21"/>
              </w:rPr>
            </w:pPr>
            <w:r w:rsidRPr="0046702C">
              <w:rPr>
                <w:rFonts w:cs="Arial"/>
                <w:b w:val="0"/>
                <w:color w:val="538135" w:themeColor="accent6" w:themeShade="BF"/>
                <w:sz w:val="21"/>
                <w:szCs w:val="21"/>
              </w:rPr>
              <w:t>1.0</w:t>
            </w:r>
          </w:p>
        </w:tc>
        <w:tc>
          <w:tcPr>
            <w:tcW w:w="5461" w:type="dxa"/>
            <w:tcBorders>
              <w:top w:val="single" w:sz="2" w:space="0" w:color="auto"/>
              <w:bottom w:val="single" w:sz="2" w:space="0" w:color="auto"/>
            </w:tcBorders>
            <w:shd w:val="clear" w:color="auto" w:fill="FFFFFF" w:themeFill="background1"/>
          </w:tcPr>
          <w:p w14:paraId="4F8A1BE6" w14:textId="1F0F1FFC" w:rsidR="00915068" w:rsidRPr="0046702C" w:rsidRDefault="00713C9F" w:rsidP="00822ABA">
            <w:pPr>
              <w:rPr>
                <w:rFonts w:cs="Arial"/>
                <w:b w:val="0"/>
                <w:color w:val="538135" w:themeColor="accent6" w:themeShade="BF"/>
                <w:sz w:val="21"/>
                <w:szCs w:val="21"/>
              </w:rPr>
            </w:pPr>
            <w:r w:rsidRPr="0046702C">
              <w:rPr>
                <w:rFonts w:cs="Arial"/>
                <w:b w:val="0"/>
                <w:color w:val="538135" w:themeColor="accent6" w:themeShade="BF"/>
                <w:sz w:val="21"/>
                <w:szCs w:val="21"/>
              </w:rPr>
              <w:t xml:space="preserve">Master policy - </w:t>
            </w:r>
            <w:r w:rsidR="00AA762A" w:rsidRPr="0046702C">
              <w:rPr>
                <w:rFonts w:cs="Arial"/>
                <w:b w:val="0"/>
                <w:color w:val="538135" w:themeColor="accent6" w:themeShade="BF"/>
                <w:sz w:val="21"/>
                <w:szCs w:val="21"/>
              </w:rPr>
              <w:t>This is the latest model pay policy from our HR advisors.  This has been adapted to meet trust needs.  Schools/academies need to personalise with the individual school name.  The Trust use</w:t>
            </w:r>
            <w:r w:rsidR="002E1D87" w:rsidRPr="0046702C">
              <w:rPr>
                <w:rFonts w:cs="Arial"/>
                <w:b w:val="0"/>
                <w:color w:val="538135" w:themeColor="accent6" w:themeShade="BF"/>
                <w:sz w:val="21"/>
                <w:szCs w:val="21"/>
              </w:rPr>
              <w:t>s</w:t>
            </w:r>
            <w:r w:rsidR="00AA762A" w:rsidRPr="0046702C">
              <w:rPr>
                <w:rFonts w:cs="Arial"/>
                <w:b w:val="0"/>
                <w:color w:val="538135" w:themeColor="accent6" w:themeShade="BF"/>
                <w:sz w:val="21"/>
                <w:szCs w:val="21"/>
              </w:rPr>
              <w:t xml:space="preserve"> the STPCD</w:t>
            </w:r>
            <w:r w:rsidR="002E1D87" w:rsidRPr="0046702C">
              <w:rPr>
                <w:rFonts w:cs="Arial"/>
                <w:b w:val="0"/>
                <w:color w:val="538135" w:themeColor="accent6" w:themeShade="BF"/>
                <w:sz w:val="21"/>
                <w:szCs w:val="21"/>
              </w:rPr>
              <w:t>/NJC</w:t>
            </w:r>
            <w:r w:rsidR="00AA762A" w:rsidRPr="0046702C">
              <w:rPr>
                <w:rFonts w:cs="Arial"/>
                <w:b w:val="0"/>
                <w:color w:val="538135" w:themeColor="accent6" w:themeShade="BF"/>
                <w:sz w:val="21"/>
                <w:szCs w:val="21"/>
              </w:rPr>
              <w:t xml:space="preserve"> document as the basis for all salary awards. </w:t>
            </w:r>
          </w:p>
        </w:tc>
        <w:tc>
          <w:tcPr>
            <w:tcW w:w="1990" w:type="dxa"/>
            <w:tcBorders>
              <w:top w:val="single" w:sz="2" w:space="0" w:color="auto"/>
              <w:bottom w:val="single" w:sz="2" w:space="0" w:color="auto"/>
            </w:tcBorders>
            <w:shd w:val="clear" w:color="auto" w:fill="FFFFFF" w:themeFill="background1"/>
          </w:tcPr>
          <w:p w14:paraId="005D3501" w14:textId="103AC6FB" w:rsidR="00915068" w:rsidRPr="0046702C" w:rsidRDefault="002E1D87" w:rsidP="00822ABA">
            <w:pPr>
              <w:rPr>
                <w:rFonts w:cs="Arial"/>
                <w:b w:val="0"/>
                <w:color w:val="538135" w:themeColor="accent6" w:themeShade="BF"/>
                <w:sz w:val="21"/>
                <w:szCs w:val="21"/>
              </w:rPr>
            </w:pPr>
            <w:r w:rsidRPr="0046702C">
              <w:rPr>
                <w:rFonts w:cs="Arial"/>
                <w:b w:val="0"/>
                <w:color w:val="538135" w:themeColor="accent6" w:themeShade="BF"/>
                <w:sz w:val="21"/>
                <w:szCs w:val="21"/>
              </w:rPr>
              <w:t>Alison Anderson</w:t>
            </w:r>
            <w:r w:rsidR="00713C9F" w:rsidRPr="0046702C">
              <w:rPr>
                <w:rFonts w:cs="Arial"/>
                <w:b w:val="0"/>
                <w:color w:val="538135" w:themeColor="accent6" w:themeShade="BF"/>
                <w:sz w:val="21"/>
                <w:szCs w:val="21"/>
              </w:rPr>
              <w:t xml:space="preserve"> CEO</w:t>
            </w:r>
            <w:r w:rsidRPr="0046702C">
              <w:rPr>
                <w:rFonts w:cs="Arial"/>
                <w:b w:val="0"/>
                <w:color w:val="538135" w:themeColor="accent6" w:themeShade="BF"/>
                <w:sz w:val="21"/>
                <w:szCs w:val="21"/>
              </w:rPr>
              <w:t xml:space="preserve"> &amp; Chair of FAR Committee Trust Board</w:t>
            </w:r>
          </w:p>
        </w:tc>
      </w:tr>
      <w:tr w:rsidR="0046702C" w:rsidRPr="0046702C" w14:paraId="159C6B77" w14:textId="77777777" w:rsidTr="0046702C">
        <w:trPr>
          <w:cnfStyle w:val="000000010000" w:firstRow="0" w:lastRow="0" w:firstColumn="0" w:lastColumn="0" w:oddVBand="0" w:evenVBand="0" w:oddHBand="0" w:evenHBand="1" w:firstRowFirstColumn="0" w:firstRowLastColumn="0" w:lastRowFirstColumn="0" w:lastRowLastColumn="0"/>
          <w:trHeight w:val="300"/>
        </w:trPr>
        <w:tc>
          <w:tcPr>
            <w:tcW w:w="1590" w:type="dxa"/>
            <w:tcBorders>
              <w:top w:val="single" w:sz="2" w:space="0" w:color="auto"/>
              <w:bottom w:val="single" w:sz="2" w:space="0" w:color="auto"/>
            </w:tcBorders>
            <w:shd w:val="clear" w:color="auto" w:fill="FFFFFF" w:themeFill="background1"/>
          </w:tcPr>
          <w:p w14:paraId="201E4747" w14:textId="77777777" w:rsidR="002E1D87" w:rsidRPr="0046702C" w:rsidRDefault="002E1D87" w:rsidP="00822ABA">
            <w:pPr>
              <w:rPr>
                <w:rFonts w:cs="Arial"/>
                <w:b w:val="0"/>
                <w:color w:val="538135" w:themeColor="accent6" w:themeShade="BF"/>
                <w:sz w:val="21"/>
                <w:szCs w:val="21"/>
              </w:rPr>
            </w:pPr>
          </w:p>
        </w:tc>
        <w:tc>
          <w:tcPr>
            <w:tcW w:w="1023" w:type="dxa"/>
            <w:tcBorders>
              <w:top w:val="single" w:sz="2" w:space="0" w:color="auto"/>
              <w:bottom w:val="single" w:sz="2" w:space="0" w:color="auto"/>
            </w:tcBorders>
            <w:shd w:val="clear" w:color="auto" w:fill="FFFFFF" w:themeFill="background1"/>
          </w:tcPr>
          <w:p w14:paraId="44A12D6F" w14:textId="77777777" w:rsidR="002E1D87" w:rsidRPr="0046702C" w:rsidRDefault="002E1D87" w:rsidP="00822ABA">
            <w:pPr>
              <w:rPr>
                <w:rFonts w:cs="Arial"/>
                <w:b w:val="0"/>
                <w:color w:val="538135" w:themeColor="accent6" w:themeShade="BF"/>
                <w:sz w:val="21"/>
                <w:szCs w:val="21"/>
              </w:rPr>
            </w:pPr>
          </w:p>
        </w:tc>
        <w:tc>
          <w:tcPr>
            <w:tcW w:w="5461" w:type="dxa"/>
            <w:tcBorders>
              <w:top w:val="single" w:sz="2" w:space="0" w:color="auto"/>
              <w:bottom w:val="single" w:sz="2" w:space="0" w:color="auto"/>
            </w:tcBorders>
            <w:shd w:val="clear" w:color="auto" w:fill="FFFFFF" w:themeFill="background1"/>
          </w:tcPr>
          <w:p w14:paraId="7658DAF8" w14:textId="70CD9A37" w:rsidR="002E1D87" w:rsidRPr="0046702C" w:rsidRDefault="002E1D87" w:rsidP="00822ABA">
            <w:pPr>
              <w:rPr>
                <w:rFonts w:cs="Arial"/>
                <w:b w:val="0"/>
                <w:color w:val="538135" w:themeColor="accent6" w:themeShade="BF"/>
                <w:sz w:val="21"/>
                <w:szCs w:val="21"/>
              </w:rPr>
            </w:pPr>
            <w:r w:rsidRPr="0046702C">
              <w:rPr>
                <w:rFonts w:cs="Arial"/>
                <w:b w:val="0"/>
                <w:color w:val="538135" w:themeColor="accent6" w:themeShade="BF"/>
                <w:sz w:val="21"/>
                <w:szCs w:val="21"/>
              </w:rPr>
              <w:t xml:space="preserve">Academy Adoption - </w:t>
            </w:r>
          </w:p>
        </w:tc>
        <w:tc>
          <w:tcPr>
            <w:tcW w:w="1990" w:type="dxa"/>
            <w:tcBorders>
              <w:top w:val="single" w:sz="2" w:space="0" w:color="auto"/>
              <w:bottom w:val="single" w:sz="2" w:space="0" w:color="auto"/>
            </w:tcBorders>
            <w:shd w:val="clear" w:color="auto" w:fill="FFFFFF" w:themeFill="background1"/>
          </w:tcPr>
          <w:p w14:paraId="49D543F2" w14:textId="77777777" w:rsidR="002E1D87" w:rsidRPr="0046702C" w:rsidRDefault="002E1D87" w:rsidP="00822ABA">
            <w:pPr>
              <w:rPr>
                <w:rFonts w:cs="Arial"/>
                <w:b w:val="0"/>
                <w:color w:val="538135" w:themeColor="accent6" w:themeShade="BF"/>
                <w:sz w:val="21"/>
                <w:szCs w:val="21"/>
              </w:rPr>
            </w:pPr>
          </w:p>
        </w:tc>
      </w:tr>
      <w:tr w:rsidR="0046702C" w:rsidRPr="0046702C" w14:paraId="62C8C26F" w14:textId="77777777" w:rsidTr="00713C9F">
        <w:trPr>
          <w:trHeight w:val="300"/>
        </w:trPr>
        <w:tc>
          <w:tcPr>
            <w:tcW w:w="1590" w:type="dxa"/>
            <w:tcBorders>
              <w:top w:val="single" w:sz="2" w:space="0" w:color="auto"/>
            </w:tcBorders>
            <w:shd w:val="clear" w:color="auto" w:fill="FFFFFF" w:themeFill="background1"/>
          </w:tcPr>
          <w:p w14:paraId="69FB5923" w14:textId="77777777" w:rsidR="0046702C" w:rsidRPr="0046702C" w:rsidRDefault="0046702C" w:rsidP="00822ABA">
            <w:pPr>
              <w:rPr>
                <w:rFonts w:cs="Arial"/>
                <w:b w:val="0"/>
                <w:color w:val="538135" w:themeColor="accent6" w:themeShade="BF"/>
                <w:sz w:val="21"/>
                <w:szCs w:val="21"/>
              </w:rPr>
            </w:pPr>
          </w:p>
        </w:tc>
        <w:tc>
          <w:tcPr>
            <w:tcW w:w="1023" w:type="dxa"/>
            <w:tcBorders>
              <w:top w:val="single" w:sz="2" w:space="0" w:color="auto"/>
            </w:tcBorders>
            <w:shd w:val="clear" w:color="auto" w:fill="FFFFFF" w:themeFill="background1"/>
          </w:tcPr>
          <w:p w14:paraId="6A977498" w14:textId="77777777" w:rsidR="0046702C" w:rsidRPr="0046702C" w:rsidRDefault="0046702C" w:rsidP="00822ABA">
            <w:pPr>
              <w:rPr>
                <w:rFonts w:cs="Arial"/>
                <w:b w:val="0"/>
                <w:color w:val="538135" w:themeColor="accent6" w:themeShade="BF"/>
                <w:sz w:val="21"/>
                <w:szCs w:val="21"/>
              </w:rPr>
            </w:pPr>
          </w:p>
        </w:tc>
        <w:tc>
          <w:tcPr>
            <w:tcW w:w="5461" w:type="dxa"/>
            <w:tcBorders>
              <w:top w:val="single" w:sz="2" w:space="0" w:color="auto"/>
            </w:tcBorders>
            <w:shd w:val="clear" w:color="auto" w:fill="FFFFFF" w:themeFill="background1"/>
          </w:tcPr>
          <w:p w14:paraId="4F60E61A" w14:textId="77777777" w:rsidR="0046702C" w:rsidRPr="0046702C" w:rsidRDefault="0046702C" w:rsidP="00822ABA">
            <w:pPr>
              <w:rPr>
                <w:rFonts w:cs="Arial"/>
                <w:color w:val="538135" w:themeColor="accent6" w:themeShade="BF"/>
                <w:sz w:val="21"/>
                <w:szCs w:val="21"/>
              </w:rPr>
            </w:pPr>
          </w:p>
        </w:tc>
        <w:tc>
          <w:tcPr>
            <w:tcW w:w="1990" w:type="dxa"/>
            <w:tcBorders>
              <w:top w:val="single" w:sz="2" w:space="0" w:color="auto"/>
            </w:tcBorders>
            <w:shd w:val="clear" w:color="auto" w:fill="FFFFFF" w:themeFill="background1"/>
          </w:tcPr>
          <w:p w14:paraId="53684916" w14:textId="77777777" w:rsidR="0046702C" w:rsidRPr="0046702C" w:rsidRDefault="0046702C" w:rsidP="00822ABA">
            <w:pPr>
              <w:rPr>
                <w:rFonts w:cs="Arial"/>
                <w:b w:val="0"/>
                <w:color w:val="538135" w:themeColor="accent6" w:themeShade="BF"/>
                <w:sz w:val="21"/>
                <w:szCs w:val="21"/>
              </w:rPr>
            </w:pPr>
          </w:p>
        </w:tc>
      </w:tr>
    </w:tbl>
    <w:p w14:paraId="331A6A20" w14:textId="682F3AF4" w:rsidR="00915068" w:rsidRPr="0046702C" w:rsidRDefault="00915068" w:rsidP="00B56C3C">
      <w:pPr>
        <w:pStyle w:val="EPMPageHeading"/>
        <w:rPr>
          <w:rStyle w:val="Hyperlink"/>
          <w:color w:val="538135" w:themeColor="accent6" w:themeShade="BF"/>
        </w:rPr>
        <w:sectPr w:rsidR="00915068" w:rsidRPr="0046702C" w:rsidSect="002E1D87">
          <w:footerReference w:type="default" r:id="rId12"/>
          <w:pgSz w:w="11906" w:h="16838"/>
          <w:pgMar w:top="720" w:right="720" w:bottom="720" w:left="720" w:header="57" w:footer="283" w:gutter="0"/>
          <w:cols w:space="708"/>
          <w:docGrid w:linePitch="360"/>
        </w:sectPr>
      </w:pPr>
    </w:p>
    <w:p w14:paraId="2E6CF01F" w14:textId="1A3A908A" w:rsidR="0046702C" w:rsidRPr="0046702C" w:rsidRDefault="0046702C" w:rsidP="0046702C">
      <w:pPr>
        <w:jc w:val="center"/>
        <w:rPr>
          <w:color w:val="538135" w:themeColor="accent6" w:themeShade="BF"/>
        </w:rPr>
      </w:pPr>
      <w:bookmarkStart w:id="1" w:name="_Toc129872984"/>
      <w:r w:rsidRPr="0046702C">
        <w:rPr>
          <w:rFonts w:ascii="Century Gothic" w:hAnsi="Century Gothic"/>
          <w:noProof/>
          <w:color w:val="538135" w:themeColor="accent6" w:themeShade="BF"/>
          <w:szCs w:val="20"/>
        </w:rPr>
        <w:lastRenderedPageBreak/>
        <w:drawing>
          <wp:inline distT="0" distB="0" distL="0" distR="0" wp14:anchorId="5F308CFA" wp14:editId="5D7EFF3D">
            <wp:extent cx="1781175" cy="1781175"/>
            <wp:effectExtent l="0" t="0" r="9525" b="9525"/>
            <wp:docPr id="1857802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bookmarkStart w:id="2" w:name="_Hlk150955986"/>
    </w:p>
    <w:p w14:paraId="27AF535F" w14:textId="5258A98A" w:rsidR="00A074E9" w:rsidRPr="0046702C" w:rsidRDefault="00915068" w:rsidP="00A074E9">
      <w:pPr>
        <w:pStyle w:val="EPMPageHeading"/>
        <w:tabs>
          <w:tab w:val="left" w:pos="567"/>
        </w:tabs>
        <w:rPr>
          <w:rFonts w:ascii="Century Gothic" w:hAnsi="Century Gothic"/>
          <w:noProof/>
          <w:color w:val="538135" w:themeColor="accent6" w:themeShade="BF"/>
        </w:rPr>
      </w:pPr>
      <w:r w:rsidRPr="0046702C">
        <w:rPr>
          <w:rFonts w:ascii="Century Gothic" w:hAnsi="Century Gothic"/>
          <w:color w:val="538135" w:themeColor="accent6" w:themeShade="BF"/>
        </w:rPr>
        <w:t>C</w:t>
      </w:r>
      <w:r w:rsidR="008566A6" w:rsidRPr="0046702C">
        <w:rPr>
          <w:rFonts w:ascii="Century Gothic" w:hAnsi="Century Gothic"/>
          <w:color w:val="538135" w:themeColor="accent6" w:themeShade="BF"/>
        </w:rPr>
        <w:t>ontents</w:t>
      </w:r>
      <w:bookmarkEnd w:id="1"/>
      <w:r w:rsidR="00A074E9" w:rsidRPr="0046702C">
        <w:rPr>
          <w:rFonts w:ascii="Century Gothic" w:hAnsi="Century Gothic"/>
          <w:color w:val="538135" w:themeColor="accent6" w:themeShade="BF"/>
          <w:sz w:val="21"/>
          <w:szCs w:val="21"/>
        </w:rPr>
        <w:fldChar w:fldCharType="begin"/>
      </w:r>
      <w:r w:rsidR="00A074E9" w:rsidRPr="0046702C">
        <w:rPr>
          <w:rFonts w:ascii="Century Gothic" w:hAnsi="Century Gothic"/>
          <w:color w:val="538135" w:themeColor="accent6" w:themeShade="BF"/>
          <w:sz w:val="21"/>
          <w:szCs w:val="21"/>
        </w:rPr>
        <w:instrText xml:space="preserve"> TOC \o "1-3" \h \z \t "EPM Heading 2,1,EPM Page Heading,1,EPM Page Title,1,EPM Numbered Heading,1" </w:instrText>
      </w:r>
      <w:r w:rsidR="00A074E9" w:rsidRPr="0046702C">
        <w:rPr>
          <w:rFonts w:ascii="Century Gothic" w:hAnsi="Century Gothic"/>
          <w:color w:val="538135" w:themeColor="accent6" w:themeShade="BF"/>
          <w:sz w:val="21"/>
          <w:szCs w:val="21"/>
        </w:rPr>
        <w:fldChar w:fldCharType="separate"/>
      </w:r>
    </w:p>
    <w:p w14:paraId="0C1E393C" w14:textId="0CAD40C4" w:rsidR="00A074E9" w:rsidRPr="0046702C" w:rsidRDefault="00000000" w:rsidP="00A074E9">
      <w:pPr>
        <w:pStyle w:val="TOC1"/>
        <w:tabs>
          <w:tab w:val="left" w:pos="440"/>
          <w:tab w:val="left" w:pos="567"/>
          <w:tab w:val="right" w:pos="9854"/>
        </w:tabs>
        <w:rPr>
          <w:rFonts w:ascii="Century Gothic" w:hAnsi="Century Gothic"/>
          <w:noProof/>
          <w:color w:val="538135" w:themeColor="accent6" w:themeShade="BF"/>
          <w:sz w:val="21"/>
          <w:szCs w:val="21"/>
        </w:rPr>
      </w:pPr>
      <w:hyperlink w:anchor="_Toc129872986" w:history="1">
        <w:r w:rsidR="00A074E9" w:rsidRPr="0046702C">
          <w:rPr>
            <w:rStyle w:val="Hyperlink"/>
            <w:rFonts w:ascii="Century Gothic" w:hAnsi="Century Gothic"/>
            <w:noProof/>
            <w:color w:val="538135" w:themeColor="accent6" w:themeShade="BF"/>
            <w:sz w:val="21"/>
            <w:szCs w:val="21"/>
          </w:rPr>
          <w:t>1.</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Introduction</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_Toc129872986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5</w:t>
        </w:r>
        <w:r w:rsidR="00A074E9" w:rsidRPr="0046702C">
          <w:rPr>
            <w:rFonts w:ascii="Century Gothic" w:hAnsi="Century Gothic"/>
            <w:noProof/>
            <w:webHidden/>
            <w:color w:val="538135" w:themeColor="accent6" w:themeShade="BF"/>
            <w:sz w:val="21"/>
            <w:szCs w:val="21"/>
          </w:rPr>
          <w:fldChar w:fldCharType="end"/>
        </w:r>
      </w:hyperlink>
    </w:p>
    <w:p w14:paraId="7E865E7A" w14:textId="218FFDE7" w:rsidR="00A074E9" w:rsidRPr="0046702C" w:rsidRDefault="00000000" w:rsidP="00A074E9">
      <w:pPr>
        <w:pStyle w:val="TOC1"/>
        <w:tabs>
          <w:tab w:val="left" w:pos="440"/>
          <w:tab w:val="left" w:pos="567"/>
          <w:tab w:val="right" w:pos="9854"/>
        </w:tabs>
        <w:rPr>
          <w:rFonts w:ascii="Century Gothic" w:hAnsi="Century Gothic"/>
          <w:noProof/>
          <w:color w:val="538135" w:themeColor="accent6" w:themeShade="BF"/>
          <w:sz w:val="21"/>
          <w:szCs w:val="21"/>
        </w:rPr>
      </w:pPr>
      <w:hyperlink w:anchor="_Toc129872987" w:history="1">
        <w:r w:rsidR="00A074E9" w:rsidRPr="0046702C">
          <w:rPr>
            <w:rStyle w:val="Hyperlink"/>
            <w:rFonts w:ascii="Century Gothic" w:hAnsi="Century Gothic"/>
            <w:noProof/>
            <w:color w:val="538135" w:themeColor="accent6" w:themeShade="BF"/>
            <w:sz w:val="21"/>
            <w:szCs w:val="21"/>
          </w:rPr>
          <w:t>2.</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Delegation of Decision Making</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_Toc129872987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5</w:t>
        </w:r>
        <w:r w:rsidR="00A074E9" w:rsidRPr="0046702C">
          <w:rPr>
            <w:rFonts w:ascii="Century Gothic" w:hAnsi="Century Gothic"/>
            <w:noProof/>
            <w:webHidden/>
            <w:color w:val="538135" w:themeColor="accent6" w:themeShade="BF"/>
            <w:sz w:val="21"/>
            <w:szCs w:val="21"/>
          </w:rPr>
          <w:fldChar w:fldCharType="end"/>
        </w:r>
      </w:hyperlink>
    </w:p>
    <w:p w14:paraId="03E36A8E" w14:textId="7061D5BC" w:rsidR="00A074E9" w:rsidRPr="0046702C" w:rsidRDefault="00000000" w:rsidP="00A074E9">
      <w:pPr>
        <w:pStyle w:val="TOC1"/>
        <w:tabs>
          <w:tab w:val="left" w:pos="440"/>
          <w:tab w:val="left" w:pos="567"/>
          <w:tab w:val="right" w:pos="9854"/>
        </w:tabs>
        <w:rPr>
          <w:rFonts w:ascii="Century Gothic" w:hAnsi="Century Gothic"/>
          <w:noProof/>
          <w:color w:val="538135" w:themeColor="accent6" w:themeShade="BF"/>
          <w:sz w:val="21"/>
          <w:szCs w:val="21"/>
        </w:rPr>
      </w:pPr>
      <w:hyperlink w:anchor="_Toc129872988" w:history="1">
        <w:r w:rsidR="00A074E9" w:rsidRPr="0046702C">
          <w:rPr>
            <w:rStyle w:val="Hyperlink"/>
            <w:rFonts w:ascii="Century Gothic" w:hAnsi="Century Gothic"/>
            <w:noProof/>
            <w:color w:val="538135" w:themeColor="accent6" w:themeShade="BF"/>
            <w:sz w:val="21"/>
            <w:szCs w:val="21"/>
          </w:rPr>
          <w:t>3.</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Exercise of Discretion Under the STPCD</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_Toc129872988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8</w:t>
        </w:r>
        <w:r w:rsidR="00A074E9" w:rsidRPr="0046702C">
          <w:rPr>
            <w:rFonts w:ascii="Century Gothic" w:hAnsi="Century Gothic"/>
            <w:noProof/>
            <w:webHidden/>
            <w:color w:val="538135" w:themeColor="accent6" w:themeShade="BF"/>
            <w:sz w:val="21"/>
            <w:szCs w:val="21"/>
          </w:rPr>
          <w:fldChar w:fldCharType="end"/>
        </w:r>
      </w:hyperlink>
    </w:p>
    <w:p w14:paraId="467B835B" w14:textId="755E13E3" w:rsidR="00A074E9" w:rsidRPr="0046702C" w:rsidRDefault="00000000" w:rsidP="00A074E9">
      <w:pPr>
        <w:pStyle w:val="TOC1"/>
        <w:tabs>
          <w:tab w:val="left" w:pos="440"/>
          <w:tab w:val="left" w:pos="567"/>
          <w:tab w:val="right" w:pos="9854"/>
        </w:tabs>
        <w:rPr>
          <w:rFonts w:ascii="Century Gothic" w:hAnsi="Century Gothic"/>
          <w:noProof/>
          <w:color w:val="538135" w:themeColor="accent6" w:themeShade="BF"/>
          <w:sz w:val="21"/>
          <w:szCs w:val="21"/>
        </w:rPr>
      </w:pPr>
      <w:hyperlink w:anchor="_Toc129872989" w:history="1">
        <w:r w:rsidR="00A074E9" w:rsidRPr="0046702C">
          <w:rPr>
            <w:rStyle w:val="Hyperlink"/>
            <w:rFonts w:ascii="Century Gothic" w:hAnsi="Century Gothic"/>
            <w:noProof/>
            <w:color w:val="538135" w:themeColor="accent6" w:themeShade="BF"/>
            <w:sz w:val="21"/>
            <w:szCs w:val="21"/>
          </w:rPr>
          <w:t>4.</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Leading Practitioner Posts</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_Toc129872989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11</w:t>
        </w:r>
        <w:r w:rsidR="00A074E9" w:rsidRPr="0046702C">
          <w:rPr>
            <w:rFonts w:ascii="Century Gothic" w:hAnsi="Century Gothic"/>
            <w:noProof/>
            <w:webHidden/>
            <w:color w:val="538135" w:themeColor="accent6" w:themeShade="BF"/>
            <w:sz w:val="21"/>
            <w:szCs w:val="21"/>
          </w:rPr>
          <w:fldChar w:fldCharType="end"/>
        </w:r>
      </w:hyperlink>
    </w:p>
    <w:p w14:paraId="0B6B15A0" w14:textId="39B1BF2B" w:rsidR="00A074E9" w:rsidRPr="0046702C" w:rsidRDefault="00000000" w:rsidP="00A074E9">
      <w:pPr>
        <w:pStyle w:val="TOC1"/>
        <w:tabs>
          <w:tab w:val="left" w:pos="440"/>
          <w:tab w:val="left" w:pos="567"/>
          <w:tab w:val="right" w:pos="9854"/>
        </w:tabs>
        <w:rPr>
          <w:rFonts w:ascii="Century Gothic" w:hAnsi="Century Gothic"/>
          <w:noProof/>
          <w:color w:val="538135" w:themeColor="accent6" w:themeShade="BF"/>
          <w:sz w:val="21"/>
          <w:szCs w:val="21"/>
        </w:rPr>
      </w:pPr>
      <w:hyperlink w:anchor="_Toc129872990" w:history="1">
        <w:r w:rsidR="00A074E9" w:rsidRPr="0046702C">
          <w:rPr>
            <w:rStyle w:val="Hyperlink"/>
            <w:rFonts w:ascii="Century Gothic" w:hAnsi="Century Gothic"/>
            <w:noProof/>
            <w:color w:val="538135" w:themeColor="accent6" w:themeShade="BF"/>
            <w:sz w:val="21"/>
            <w:szCs w:val="21"/>
          </w:rPr>
          <w:t>5.</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The Leadership Group (See Annex G)</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_Toc129872990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11</w:t>
        </w:r>
        <w:r w:rsidR="00A074E9" w:rsidRPr="0046702C">
          <w:rPr>
            <w:rFonts w:ascii="Century Gothic" w:hAnsi="Century Gothic"/>
            <w:noProof/>
            <w:webHidden/>
            <w:color w:val="538135" w:themeColor="accent6" w:themeShade="BF"/>
            <w:sz w:val="21"/>
            <w:szCs w:val="21"/>
          </w:rPr>
          <w:fldChar w:fldCharType="end"/>
        </w:r>
      </w:hyperlink>
    </w:p>
    <w:p w14:paraId="26294D41" w14:textId="53AFAF3D" w:rsidR="00A074E9" w:rsidRPr="0046702C" w:rsidRDefault="00000000" w:rsidP="00A074E9">
      <w:pPr>
        <w:pStyle w:val="TOC1"/>
        <w:tabs>
          <w:tab w:val="left" w:pos="440"/>
          <w:tab w:val="left" w:pos="567"/>
          <w:tab w:val="right" w:pos="9854"/>
        </w:tabs>
        <w:rPr>
          <w:rFonts w:ascii="Century Gothic" w:hAnsi="Century Gothic"/>
          <w:noProof/>
          <w:color w:val="538135" w:themeColor="accent6" w:themeShade="BF"/>
          <w:sz w:val="21"/>
          <w:szCs w:val="21"/>
        </w:rPr>
      </w:pPr>
      <w:hyperlink w:anchor="_Toc129872991" w:history="1">
        <w:r w:rsidR="00A074E9" w:rsidRPr="0046702C">
          <w:rPr>
            <w:rStyle w:val="Hyperlink"/>
            <w:rFonts w:ascii="Century Gothic" w:hAnsi="Century Gothic"/>
            <w:noProof/>
            <w:color w:val="538135" w:themeColor="accent6" w:themeShade="BF"/>
            <w:sz w:val="21"/>
            <w:szCs w:val="21"/>
          </w:rPr>
          <w:t>6.</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Headteachers Determination of Leadership Group Salaries</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_Toc129872991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12</w:t>
        </w:r>
        <w:r w:rsidR="00A074E9" w:rsidRPr="0046702C">
          <w:rPr>
            <w:rFonts w:ascii="Century Gothic" w:hAnsi="Century Gothic"/>
            <w:noProof/>
            <w:webHidden/>
            <w:color w:val="538135" w:themeColor="accent6" w:themeShade="BF"/>
            <w:sz w:val="21"/>
            <w:szCs w:val="21"/>
          </w:rPr>
          <w:fldChar w:fldCharType="end"/>
        </w:r>
      </w:hyperlink>
    </w:p>
    <w:p w14:paraId="19857DF3" w14:textId="2C9A2EE8" w:rsidR="00A074E9" w:rsidRPr="0046702C" w:rsidRDefault="00000000" w:rsidP="00A074E9">
      <w:pPr>
        <w:pStyle w:val="TOC1"/>
        <w:tabs>
          <w:tab w:val="left" w:pos="440"/>
          <w:tab w:val="left" w:pos="567"/>
          <w:tab w:val="right" w:pos="9854"/>
        </w:tabs>
        <w:rPr>
          <w:rFonts w:ascii="Century Gothic" w:hAnsi="Century Gothic"/>
          <w:noProof/>
          <w:color w:val="538135" w:themeColor="accent6" w:themeShade="BF"/>
          <w:sz w:val="21"/>
          <w:szCs w:val="21"/>
        </w:rPr>
      </w:pPr>
      <w:hyperlink w:anchor="_Toc129872992" w:history="1">
        <w:r w:rsidR="00A074E9" w:rsidRPr="0046702C">
          <w:rPr>
            <w:rStyle w:val="Hyperlink"/>
            <w:rFonts w:ascii="Century Gothic" w:hAnsi="Century Gothic"/>
            <w:noProof/>
            <w:color w:val="538135" w:themeColor="accent6" w:themeShade="BF"/>
            <w:sz w:val="21"/>
            <w:szCs w:val="21"/>
          </w:rPr>
          <w:t>7.</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Additional Payments for Teaching Staff [optional paragraph]</w:t>
        </w:r>
        <w:r w:rsidR="00A074E9" w:rsidRPr="0046702C">
          <w:rPr>
            <w:rFonts w:ascii="Century Gothic" w:hAnsi="Century Gothic"/>
            <w:noProof/>
            <w:webHidden/>
            <w:color w:val="538135" w:themeColor="accent6" w:themeShade="BF"/>
            <w:sz w:val="21"/>
            <w:szCs w:val="21"/>
          </w:rPr>
          <w:tab/>
        </w:r>
      </w:hyperlink>
    </w:p>
    <w:p w14:paraId="313D83C2" w14:textId="187425AF" w:rsidR="00A074E9" w:rsidRPr="0046702C" w:rsidRDefault="00000000" w:rsidP="00A074E9">
      <w:pPr>
        <w:pStyle w:val="TOC1"/>
        <w:tabs>
          <w:tab w:val="left" w:pos="440"/>
          <w:tab w:val="left" w:pos="567"/>
          <w:tab w:val="right" w:pos="9854"/>
        </w:tabs>
        <w:rPr>
          <w:rFonts w:ascii="Century Gothic" w:hAnsi="Century Gothic"/>
          <w:noProof/>
          <w:color w:val="538135" w:themeColor="accent6" w:themeShade="BF"/>
          <w:sz w:val="21"/>
          <w:szCs w:val="21"/>
        </w:rPr>
      </w:pPr>
      <w:hyperlink w:anchor="_Toc129872993" w:history="1">
        <w:r w:rsidR="00A074E9" w:rsidRPr="0046702C">
          <w:rPr>
            <w:rStyle w:val="Hyperlink"/>
            <w:rFonts w:ascii="Century Gothic" w:hAnsi="Century Gothic"/>
            <w:noProof/>
            <w:color w:val="538135" w:themeColor="accent6" w:themeShade="BF"/>
            <w:sz w:val="21"/>
            <w:szCs w:val="21"/>
          </w:rPr>
          <w:t>8.</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Unqualified Teachers</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_Toc129872993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14</w:t>
        </w:r>
        <w:r w:rsidR="00A074E9" w:rsidRPr="0046702C">
          <w:rPr>
            <w:rFonts w:ascii="Century Gothic" w:hAnsi="Century Gothic"/>
            <w:noProof/>
            <w:webHidden/>
            <w:color w:val="538135" w:themeColor="accent6" w:themeShade="BF"/>
            <w:sz w:val="21"/>
            <w:szCs w:val="21"/>
          </w:rPr>
          <w:fldChar w:fldCharType="end"/>
        </w:r>
      </w:hyperlink>
    </w:p>
    <w:p w14:paraId="1FF470F6" w14:textId="4C30C96A" w:rsidR="00A074E9" w:rsidRPr="0046702C" w:rsidRDefault="00000000" w:rsidP="00A074E9">
      <w:pPr>
        <w:pStyle w:val="TOC1"/>
        <w:tabs>
          <w:tab w:val="left" w:pos="440"/>
          <w:tab w:val="left" w:pos="567"/>
          <w:tab w:val="right" w:pos="9854"/>
        </w:tabs>
        <w:rPr>
          <w:rFonts w:ascii="Century Gothic" w:hAnsi="Century Gothic"/>
          <w:noProof/>
          <w:color w:val="538135" w:themeColor="accent6" w:themeShade="BF"/>
          <w:sz w:val="21"/>
          <w:szCs w:val="21"/>
        </w:rPr>
      </w:pPr>
      <w:hyperlink w:anchor="_Toc129872994" w:history="1">
        <w:r w:rsidR="00A074E9" w:rsidRPr="0046702C">
          <w:rPr>
            <w:rStyle w:val="Hyperlink"/>
            <w:rFonts w:ascii="Century Gothic" w:hAnsi="Century Gothic"/>
            <w:noProof/>
            <w:color w:val="538135" w:themeColor="accent6" w:themeShade="BF"/>
            <w:sz w:val="21"/>
            <w:szCs w:val="21"/>
          </w:rPr>
          <w:t>9.</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Salaries of Support Staff</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_Toc129872994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14</w:t>
        </w:r>
        <w:r w:rsidR="00A074E9" w:rsidRPr="0046702C">
          <w:rPr>
            <w:rFonts w:ascii="Century Gothic" w:hAnsi="Century Gothic"/>
            <w:noProof/>
            <w:webHidden/>
            <w:color w:val="538135" w:themeColor="accent6" w:themeShade="BF"/>
            <w:sz w:val="21"/>
            <w:szCs w:val="21"/>
          </w:rPr>
          <w:fldChar w:fldCharType="end"/>
        </w:r>
      </w:hyperlink>
    </w:p>
    <w:p w14:paraId="7F9E4BC7" w14:textId="0883C9B8" w:rsidR="00A074E9" w:rsidRPr="0046702C" w:rsidRDefault="00000000" w:rsidP="00A074E9">
      <w:pPr>
        <w:pStyle w:val="TOC1"/>
        <w:tabs>
          <w:tab w:val="left" w:pos="567"/>
          <w:tab w:val="left" w:pos="660"/>
          <w:tab w:val="right" w:pos="9854"/>
        </w:tabs>
        <w:rPr>
          <w:rFonts w:ascii="Century Gothic" w:hAnsi="Century Gothic"/>
          <w:noProof/>
          <w:color w:val="538135" w:themeColor="accent6" w:themeShade="BF"/>
          <w:sz w:val="21"/>
          <w:szCs w:val="21"/>
        </w:rPr>
      </w:pPr>
      <w:hyperlink w:anchor="_Toc129872995" w:history="1">
        <w:r w:rsidR="00A074E9" w:rsidRPr="0046702C">
          <w:rPr>
            <w:rStyle w:val="Hyperlink"/>
            <w:rFonts w:ascii="Century Gothic" w:hAnsi="Century Gothic"/>
            <w:noProof/>
            <w:color w:val="538135" w:themeColor="accent6" w:themeShade="BF"/>
            <w:sz w:val="21"/>
            <w:szCs w:val="21"/>
          </w:rPr>
          <w:t>10.</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Apprentices</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_Toc129872995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15</w:t>
        </w:r>
        <w:r w:rsidR="00A074E9" w:rsidRPr="0046702C">
          <w:rPr>
            <w:rFonts w:ascii="Century Gothic" w:hAnsi="Century Gothic"/>
            <w:noProof/>
            <w:webHidden/>
            <w:color w:val="538135" w:themeColor="accent6" w:themeShade="BF"/>
            <w:sz w:val="21"/>
            <w:szCs w:val="21"/>
          </w:rPr>
          <w:fldChar w:fldCharType="end"/>
        </w:r>
      </w:hyperlink>
    </w:p>
    <w:p w14:paraId="76CE1D42" w14:textId="66D6A51F" w:rsidR="00A074E9" w:rsidRPr="0046702C" w:rsidRDefault="00000000" w:rsidP="00A074E9">
      <w:pPr>
        <w:pStyle w:val="TOC1"/>
        <w:tabs>
          <w:tab w:val="left" w:pos="567"/>
          <w:tab w:val="left" w:pos="660"/>
          <w:tab w:val="right" w:pos="9854"/>
        </w:tabs>
        <w:rPr>
          <w:rFonts w:ascii="Century Gothic" w:hAnsi="Century Gothic"/>
          <w:noProof/>
          <w:color w:val="538135" w:themeColor="accent6" w:themeShade="BF"/>
          <w:sz w:val="21"/>
          <w:szCs w:val="21"/>
        </w:rPr>
      </w:pPr>
      <w:hyperlink w:anchor="_Toc129872996" w:history="1">
        <w:r w:rsidR="00A074E9" w:rsidRPr="0046702C">
          <w:rPr>
            <w:rStyle w:val="Hyperlink"/>
            <w:rFonts w:ascii="Century Gothic" w:hAnsi="Century Gothic"/>
            <w:noProof/>
            <w:color w:val="538135" w:themeColor="accent6" w:themeShade="BF"/>
            <w:sz w:val="21"/>
            <w:szCs w:val="21"/>
          </w:rPr>
          <w:t>11.</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Salary Sacrifice Scheme</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_Toc129872996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15</w:t>
        </w:r>
        <w:r w:rsidR="00A074E9" w:rsidRPr="0046702C">
          <w:rPr>
            <w:rFonts w:ascii="Century Gothic" w:hAnsi="Century Gothic"/>
            <w:noProof/>
            <w:webHidden/>
            <w:color w:val="538135" w:themeColor="accent6" w:themeShade="BF"/>
            <w:sz w:val="21"/>
            <w:szCs w:val="21"/>
          </w:rPr>
          <w:fldChar w:fldCharType="end"/>
        </w:r>
      </w:hyperlink>
    </w:p>
    <w:p w14:paraId="5C455281" w14:textId="5C2275A8" w:rsidR="00A074E9" w:rsidRPr="0046702C" w:rsidRDefault="00000000" w:rsidP="00A074E9">
      <w:pPr>
        <w:pStyle w:val="TOC1"/>
        <w:tabs>
          <w:tab w:val="left" w:pos="567"/>
          <w:tab w:val="left" w:pos="660"/>
          <w:tab w:val="right" w:pos="9854"/>
        </w:tabs>
        <w:rPr>
          <w:rFonts w:ascii="Century Gothic" w:hAnsi="Century Gothic"/>
          <w:noProof/>
          <w:color w:val="538135" w:themeColor="accent6" w:themeShade="BF"/>
          <w:sz w:val="21"/>
          <w:szCs w:val="21"/>
        </w:rPr>
      </w:pPr>
      <w:hyperlink w:anchor="_Toc129872997" w:history="1">
        <w:r w:rsidR="00A074E9" w:rsidRPr="0046702C">
          <w:rPr>
            <w:rStyle w:val="Hyperlink"/>
            <w:rFonts w:ascii="Century Gothic" w:hAnsi="Century Gothic"/>
            <w:noProof/>
            <w:color w:val="538135" w:themeColor="accent6" w:themeShade="BF"/>
            <w:sz w:val="21"/>
            <w:szCs w:val="21"/>
          </w:rPr>
          <w:t>12.</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Review of the Policy</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_Toc129872997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15</w:t>
        </w:r>
        <w:r w:rsidR="00A074E9" w:rsidRPr="0046702C">
          <w:rPr>
            <w:rFonts w:ascii="Century Gothic" w:hAnsi="Century Gothic"/>
            <w:noProof/>
            <w:webHidden/>
            <w:color w:val="538135" w:themeColor="accent6" w:themeShade="BF"/>
            <w:sz w:val="21"/>
            <w:szCs w:val="21"/>
          </w:rPr>
          <w:fldChar w:fldCharType="end"/>
        </w:r>
      </w:hyperlink>
    </w:p>
    <w:p w14:paraId="6A7AFD7F" w14:textId="321D077C" w:rsidR="00A074E9" w:rsidRPr="0046702C" w:rsidRDefault="00000000" w:rsidP="00A074E9">
      <w:pPr>
        <w:pStyle w:val="TOC1"/>
        <w:tabs>
          <w:tab w:val="left" w:pos="567"/>
          <w:tab w:val="right" w:pos="9854"/>
        </w:tabs>
        <w:rPr>
          <w:rFonts w:ascii="Century Gothic" w:hAnsi="Century Gothic"/>
          <w:noProof/>
          <w:color w:val="538135" w:themeColor="accent6" w:themeShade="BF"/>
          <w:sz w:val="21"/>
          <w:szCs w:val="21"/>
        </w:rPr>
      </w:pPr>
      <w:hyperlink w:anchor="_Toc129872998" w:history="1">
        <w:r w:rsidR="00A074E9" w:rsidRPr="0046702C">
          <w:rPr>
            <w:rStyle w:val="Hyperlink"/>
            <w:rFonts w:ascii="Century Gothic" w:hAnsi="Century Gothic"/>
            <w:noProof/>
            <w:color w:val="538135" w:themeColor="accent6" w:themeShade="BF"/>
            <w:sz w:val="21"/>
            <w:szCs w:val="21"/>
          </w:rPr>
          <w:t>Annex A: Procedure for a Review of a Salary Determination by the Review Committee of the Pay Body</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_Toc129872998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16</w:t>
        </w:r>
        <w:r w:rsidR="00A074E9" w:rsidRPr="0046702C">
          <w:rPr>
            <w:rFonts w:ascii="Century Gothic" w:hAnsi="Century Gothic"/>
            <w:noProof/>
            <w:webHidden/>
            <w:color w:val="538135" w:themeColor="accent6" w:themeShade="BF"/>
            <w:sz w:val="21"/>
            <w:szCs w:val="21"/>
          </w:rPr>
          <w:fldChar w:fldCharType="end"/>
        </w:r>
      </w:hyperlink>
    </w:p>
    <w:p w14:paraId="0B5BDACA" w14:textId="1B851D72" w:rsidR="00A074E9" w:rsidRPr="0046702C" w:rsidRDefault="00000000" w:rsidP="00A074E9">
      <w:pPr>
        <w:pStyle w:val="TOC1"/>
        <w:tabs>
          <w:tab w:val="left" w:pos="1134"/>
          <w:tab w:val="left" w:pos="1418"/>
          <w:tab w:val="right" w:pos="9854"/>
        </w:tabs>
        <w:ind w:left="567"/>
        <w:rPr>
          <w:rFonts w:ascii="Century Gothic" w:hAnsi="Century Gothic"/>
          <w:noProof/>
          <w:color w:val="538135" w:themeColor="accent6" w:themeShade="BF"/>
          <w:sz w:val="21"/>
          <w:szCs w:val="21"/>
        </w:rPr>
      </w:pPr>
      <w:hyperlink w:anchor="_Toc129872999" w:history="1">
        <w:r w:rsidR="00A074E9" w:rsidRPr="0046702C">
          <w:rPr>
            <w:rStyle w:val="Hyperlink"/>
            <w:rFonts w:ascii="Century Gothic" w:hAnsi="Century Gothic"/>
            <w:noProof/>
            <w:color w:val="538135" w:themeColor="accent6" w:themeShade="BF"/>
            <w:sz w:val="21"/>
            <w:szCs w:val="21"/>
          </w:rPr>
          <w:t>1.</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Case for the Employee</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_Toc129872999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16</w:t>
        </w:r>
        <w:r w:rsidR="00A074E9" w:rsidRPr="0046702C">
          <w:rPr>
            <w:rFonts w:ascii="Century Gothic" w:hAnsi="Century Gothic"/>
            <w:noProof/>
            <w:webHidden/>
            <w:color w:val="538135" w:themeColor="accent6" w:themeShade="BF"/>
            <w:sz w:val="21"/>
            <w:szCs w:val="21"/>
          </w:rPr>
          <w:fldChar w:fldCharType="end"/>
        </w:r>
      </w:hyperlink>
    </w:p>
    <w:p w14:paraId="5DE52F34" w14:textId="6A129628" w:rsidR="00A074E9" w:rsidRPr="0046702C" w:rsidRDefault="00000000" w:rsidP="00A074E9">
      <w:pPr>
        <w:pStyle w:val="TOC1"/>
        <w:tabs>
          <w:tab w:val="left" w:pos="1134"/>
          <w:tab w:val="left" w:pos="1418"/>
          <w:tab w:val="right" w:pos="9854"/>
        </w:tabs>
        <w:ind w:left="567"/>
        <w:rPr>
          <w:rFonts w:ascii="Century Gothic" w:hAnsi="Century Gothic"/>
          <w:noProof/>
          <w:color w:val="538135" w:themeColor="accent6" w:themeShade="BF"/>
          <w:sz w:val="21"/>
          <w:szCs w:val="21"/>
        </w:rPr>
      </w:pPr>
      <w:hyperlink w:anchor="_Toc129873000" w:history="1">
        <w:r w:rsidR="00A074E9" w:rsidRPr="0046702C">
          <w:rPr>
            <w:rStyle w:val="Hyperlink"/>
            <w:rFonts w:ascii="Century Gothic" w:hAnsi="Century Gothic"/>
            <w:noProof/>
            <w:color w:val="538135" w:themeColor="accent6" w:themeShade="BF"/>
            <w:sz w:val="21"/>
            <w:szCs w:val="21"/>
          </w:rPr>
          <w:t>2.</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The Chair of the Review Committee:</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_Toc129873000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16</w:t>
        </w:r>
        <w:r w:rsidR="00A074E9" w:rsidRPr="0046702C">
          <w:rPr>
            <w:rFonts w:ascii="Century Gothic" w:hAnsi="Century Gothic"/>
            <w:noProof/>
            <w:webHidden/>
            <w:color w:val="538135" w:themeColor="accent6" w:themeShade="BF"/>
            <w:sz w:val="21"/>
            <w:szCs w:val="21"/>
          </w:rPr>
          <w:fldChar w:fldCharType="end"/>
        </w:r>
      </w:hyperlink>
    </w:p>
    <w:p w14:paraId="3C50C418" w14:textId="2A50558E" w:rsidR="00A074E9" w:rsidRPr="0046702C" w:rsidRDefault="00000000" w:rsidP="00A074E9">
      <w:pPr>
        <w:pStyle w:val="TOC1"/>
        <w:tabs>
          <w:tab w:val="left" w:pos="1134"/>
          <w:tab w:val="left" w:pos="1418"/>
          <w:tab w:val="right" w:pos="9854"/>
        </w:tabs>
        <w:ind w:left="567"/>
        <w:rPr>
          <w:rFonts w:ascii="Century Gothic" w:hAnsi="Century Gothic"/>
          <w:noProof/>
          <w:color w:val="538135" w:themeColor="accent6" w:themeShade="BF"/>
          <w:sz w:val="21"/>
          <w:szCs w:val="21"/>
        </w:rPr>
      </w:pPr>
      <w:hyperlink w:anchor="_Toc129873001" w:history="1">
        <w:r w:rsidR="00A074E9" w:rsidRPr="0046702C">
          <w:rPr>
            <w:rStyle w:val="Hyperlink"/>
            <w:rFonts w:ascii="Century Gothic" w:hAnsi="Century Gothic"/>
            <w:noProof/>
            <w:color w:val="538135" w:themeColor="accent6" w:themeShade="BF"/>
            <w:sz w:val="21"/>
            <w:szCs w:val="21"/>
          </w:rPr>
          <w:t>3.</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Summing Up and Withdrawal</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_Toc129873001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16</w:t>
        </w:r>
        <w:r w:rsidR="00A074E9" w:rsidRPr="0046702C">
          <w:rPr>
            <w:rFonts w:ascii="Century Gothic" w:hAnsi="Century Gothic"/>
            <w:noProof/>
            <w:webHidden/>
            <w:color w:val="538135" w:themeColor="accent6" w:themeShade="BF"/>
            <w:sz w:val="21"/>
            <w:szCs w:val="21"/>
          </w:rPr>
          <w:fldChar w:fldCharType="end"/>
        </w:r>
      </w:hyperlink>
    </w:p>
    <w:p w14:paraId="017F9D45" w14:textId="7593F6F0" w:rsidR="00A074E9" w:rsidRPr="0046702C" w:rsidRDefault="00000000" w:rsidP="00A074E9">
      <w:pPr>
        <w:pStyle w:val="TOC1"/>
        <w:tabs>
          <w:tab w:val="left" w:pos="1134"/>
          <w:tab w:val="left" w:pos="1418"/>
          <w:tab w:val="right" w:pos="9854"/>
        </w:tabs>
        <w:ind w:left="567"/>
        <w:rPr>
          <w:rFonts w:ascii="Century Gothic" w:hAnsi="Century Gothic"/>
          <w:noProof/>
          <w:color w:val="538135" w:themeColor="accent6" w:themeShade="BF"/>
          <w:sz w:val="21"/>
          <w:szCs w:val="21"/>
        </w:rPr>
      </w:pPr>
      <w:hyperlink w:anchor="_Toc129873002" w:history="1">
        <w:r w:rsidR="00A074E9" w:rsidRPr="0046702C">
          <w:rPr>
            <w:rStyle w:val="Hyperlink"/>
            <w:rFonts w:ascii="Century Gothic" w:hAnsi="Century Gothic"/>
            <w:noProof/>
            <w:color w:val="538135" w:themeColor="accent6" w:themeShade="BF"/>
            <w:sz w:val="21"/>
            <w:szCs w:val="21"/>
          </w:rPr>
          <w:t>4.</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Review Committee Decision</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_Toc129873002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16</w:t>
        </w:r>
        <w:r w:rsidR="00A074E9" w:rsidRPr="0046702C">
          <w:rPr>
            <w:rFonts w:ascii="Century Gothic" w:hAnsi="Century Gothic"/>
            <w:noProof/>
            <w:webHidden/>
            <w:color w:val="538135" w:themeColor="accent6" w:themeShade="BF"/>
            <w:sz w:val="21"/>
            <w:szCs w:val="21"/>
          </w:rPr>
          <w:fldChar w:fldCharType="end"/>
        </w:r>
      </w:hyperlink>
    </w:p>
    <w:p w14:paraId="17C11DA9" w14:textId="55DE6BBB" w:rsidR="00A074E9" w:rsidRPr="0046702C" w:rsidRDefault="00000000" w:rsidP="00A074E9">
      <w:pPr>
        <w:pStyle w:val="TOC1"/>
        <w:tabs>
          <w:tab w:val="left" w:pos="567"/>
          <w:tab w:val="right" w:pos="9854"/>
        </w:tabs>
        <w:rPr>
          <w:rFonts w:ascii="Century Gothic" w:hAnsi="Century Gothic"/>
          <w:noProof/>
          <w:color w:val="538135" w:themeColor="accent6" w:themeShade="BF"/>
          <w:sz w:val="21"/>
          <w:szCs w:val="21"/>
        </w:rPr>
      </w:pPr>
      <w:hyperlink w:anchor="_Toc129873003" w:history="1">
        <w:r w:rsidR="00A074E9" w:rsidRPr="0046702C">
          <w:rPr>
            <w:rStyle w:val="Hyperlink"/>
            <w:rFonts w:ascii="Century Gothic" w:hAnsi="Century Gothic"/>
            <w:noProof/>
            <w:color w:val="538135" w:themeColor="accent6" w:themeShade="BF"/>
            <w:sz w:val="21"/>
            <w:szCs w:val="21"/>
          </w:rPr>
          <w:t>Annex B: Procedure for an Appeal against a Salary Decision of the Review Committee to the Review Appeal Committee of the Pay Body</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_Toc129873003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18</w:t>
        </w:r>
        <w:r w:rsidR="00A074E9" w:rsidRPr="0046702C">
          <w:rPr>
            <w:rFonts w:ascii="Century Gothic" w:hAnsi="Century Gothic"/>
            <w:noProof/>
            <w:webHidden/>
            <w:color w:val="538135" w:themeColor="accent6" w:themeShade="BF"/>
            <w:sz w:val="21"/>
            <w:szCs w:val="21"/>
          </w:rPr>
          <w:fldChar w:fldCharType="end"/>
        </w:r>
      </w:hyperlink>
    </w:p>
    <w:p w14:paraId="669B9BB5" w14:textId="00459D87" w:rsidR="00A074E9" w:rsidRPr="0046702C" w:rsidRDefault="00000000" w:rsidP="00A074E9">
      <w:pPr>
        <w:pStyle w:val="TOC1"/>
        <w:tabs>
          <w:tab w:val="left" w:pos="1134"/>
          <w:tab w:val="right" w:pos="9854"/>
        </w:tabs>
        <w:ind w:left="567"/>
        <w:rPr>
          <w:rFonts w:ascii="Century Gothic" w:hAnsi="Century Gothic"/>
          <w:noProof/>
          <w:color w:val="538135" w:themeColor="accent6" w:themeShade="BF"/>
          <w:sz w:val="21"/>
          <w:szCs w:val="21"/>
        </w:rPr>
      </w:pPr>
      <w:hyperlink w:anchor="_Toc129873004" w:history="1">
        <w:r w:rsidR="00A074E9" w:rsidRPr="0046702C">
          <w:rPr>
            <w:rStyle w:val="Hyperlink"/>
            <w:rFonts w:ascii="Century Gothic" w:hAnsi="Century Gothic"/>
            <w:noProof/>
            <w:color w:val="538135" w:themeColor="accent6" w:themeShade="BF"/>
            <w:sz w:val="21"/>
            <w:szCs w:val="21"/>
          </w:rPr>
          <w:t>1.</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The Appeal of the Employee</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_Toc129873004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18</w:t>
        </w:r>
        <w:r w:rsidR="00A074E9" w:rsidRPr="0046702C">
          <w:rPr>
            <w:rFonts w:ascii="Century Gothic" w:hAnsi="Century Gothic"/>
            <w:noProof/>
            <w:webHidden/>
            <w:color w:val="538135" w:themeColor="accent6" w:themeShade="BF"/>
            <w:sz w:val="21"/>
            <w:szCs w:val="21"/>
          </w:rPr>
          <w:fldChar w:fldCharType="end"/>
        </w:r>
      </w:hyperlink>
    </w:p>
    <w:p w14:paraId="7AB166C0" w14:textId="17A35F00" w:rsidR="00A074E9" w:rsidRPr="0046702C" w:rsidRDefault="00000000" w:rsidP="00A074E9">
      <w:pPr>
        <w:pStyle w:val="TOC1"/>
        <w:tabs>
          <w:tab w:val="left" w:pos="1134"/>
          <w:tab w:val="right" w:pos="9854"/>
        </w:tabs>
        <w:ind w:left="567"/>
        <w:rPr>
          <w:rFonts w:ascii="Century Gothic" w:hAnsi="Century Gothic"/>
          <w:noProof/>
          <w:color w:val="538135" w:themeColor="accent6" w:themeShade="BF"/>
          <w:sz w:val="21"/>
          <w:szCs w:val="21"/>
        </w:rPr>
      </w:pPr>
      <w:hyperlink w:anchor="_Toc129873005" w:history="1">
        <w:r w:rsidR="00A074E9" w:rsidRPr="0046702C">
          <w:rPr>
            <w:rStyle w:val="Hyperlink"/>
            <w:rFonts w:ascii="Century Gothic" w:hAnsi="Century Gothic"/>
            <w:noProof/>
            <w:color w:val="538135" w:themeColor="accent6" w:themeShade="BF"/>
            <w:sz w:val="21"/>
            <w:szCs w:val="21"/>
          </w:rPr>
          <w:t>2.</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The Response of the Review Committee</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_Toc129873005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18</w:t>
        </w:r>
        <w:r w:rsidR="00A074E9" w:rsidRPr="0046702C">
          <w:rPr>
            <w:rFonts w:ascii="Century Gothic" w:hAnsi="Century Gothic"/>
            <w:noProof/>
            <w:webHidden/>
            <w:color w:val="538135" w:themeColor="accent6" w:themeShade="BF"/>
            <w:sz w:val="21"/>
            <w:szCs w:val="21"/>
          </w:rPr>
          <w:fldChar w:fldCharType="end"/>
        </w:r>
      </w:hyperlink>
    </w:p>
    <w:p w14:paraId="02BFBCCE" w14:textId="62B2CE1B" w:rsidR="00A074E9" w:rsidRPr="0046702C" w:rsidRDefault="00000000" w:rsidP="00A074E9">
      <w:pPr>
        <w:pStyle w:val="TOC1"/>
        <w:tabs>
          <w:tab w:val="left" w:pos="1134"/>
          <w:tab w:val="right" w:pos="9854"/>
        </w:tabs>
        <w:ind w:left="567"/>
        <w:rPr>
          <w:rFonts w:ascii="Century Gothic" w:hAnsi="Century Gothic"/>
          <w:noProof/>
          <w:color w:val="538135" w:themeColor="accent6" w:themeShade="BF"/>
          <w:sz w:val="21"/>
          <w:szCs w:val="21"/>
        </w:rPr>
      </w:pPr>
      <w:hyperlink w:anchor="_Toc129873006" w:history="1">
        <w:r w:rsidR="00A074E9" w:rsidRPr="0046702C">
          <w:rPr>
            <w:rStyle w:val="Hyperlink"/>
            <w:rFonts w:ascii="Century Gothic" w:hAnsi="Century Gothic"/>
            <w:noProof/>
            <w:color w:val="538135" w:themeColor="accent6" w:themeShade="BF"/>
            <w:sz w:val="21"/>
            <w:szCs w:val="21"/>
          </w:rPr>
          <w:t>3.</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Summing Up and Withdrawal</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_Toc129873006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18</w:t>
        </w:r>
        <w:r w:rsidR="00A074E9" w:rsidRPr="0046702C">
          <w:rPr>
            <w:rFonts w:ascii="Century Gothic" w:hAnsi="Century Gothic"/>
            <w:noProof/>
            <w:webHidden/>
            <w:color w:val="538135" w:themeColor="accent6" w:themeShade="BF"/>
            <w:sz w:val="21"/>
            <w:szCs w:val="21"/>
          </w:rPr>
          <w:fldChar w:fldCharType="end"/>
        </w:r>
      </w:hyperlink>
    </w:p>
    <w:p w14:paraId="10BAD16D" w14:textId="26FF871D" w:rsidR="00A074E9" w:rsidRPr="0046702C" w:rsidRDefault="00000000" w:rsidP="00A074E9">
      <w:pPr>
        <w:pStyle w:val="TOC1"/>
        <w:tabs>
          <w:tab w:val="left" w:pos="1134"/>
          <w:tab w:val="right" w:pos="9854"/>
        </w:tabs>
        <w:ind w:left="567"/>
        <w:rPr>
          <w:rFonts w:ascii="Century Gothic" w:hAnsi="Century Gothic"/>
          <w:noProof/>
          <w:color w:val="538135" w:themeColor="accent6" w:themeShade="BF"/>
          <w:sz w:val="21"/>
          <w:szCs w:val="21"/>
        </w:rPr>
      </w:pPr>
      <w:hyperlink w:anchor="_Toc129873007" w:history="1">
        <w:r w:rsidR="00A074E9" w:rsidRPr="0046702C">
          <w:rPr>
            <w:rStyle w:val="Hyperlink"/>
            <w:rFonts w:ascii="Century Gothic" w:hAnsi="Century Gothic"/>
            <w:noProof/>
            <w:color w:val="538135" w:themeColor="accent6" w:themeShade="BF"/>
            <w:sz w:val="21"/>
            <w:szCs w:val="21"/>
          </w:rPr>
          <w:t>4.</w:t>
        </w:r>
        <w:r w:rsidR="00A074E9" w:rsidRPr="0046702C">
          <w:rPr>
            <w:rFonts w:ascii="Century Gothic" w:hAnsi="Century Gothic"/>
            <w:noProof/>
            <w:color w:val="538135" w:themeColor="accent6" w:themeShade="BF"/>
            <w:sz w:val="21"/>
            <w:szCs w:val="21"/>
          </w:rPr>
          <w:tab/>
        </w:r>
        <w:r w:rsidR="00A074E9" w:rsidRPr="0046702C">
          <w:rPr>
            <w:rStyle w:val="Hyperlink"/>
            <w:rFonts w:ascii="Century Gothic" w:hAnsi="Century Gothic"/>
            <w:noProof/>
            <w:color w:val="538135" w:themeColor="accent6" w:themeShade="BF"/>
            <w:sz w:val="21"/>
            <w:szCs w:val="21"/>
          </w:rPr>
          <w:t>Review Appeal Committee Decision</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_Toc129873007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18</w:t>
        </w:r>
        <w:r w:rsidR="00A074E9" w:rsidRPr="0046702C">
          <w:rPr>
            <w:rFonts w:ascii="Century Gothic" w:hAnsi="Century Gothic"/>
            <w:noProof/>
            <w:webHidden/>
            <w:color w:val="538135" w:themeColor="accent6" w:themeShade="BF"/>
            <w:sz w:val="21"/>
            <w:szCs w:val="21"/>
          </w:rPr>
          <w:fldChar w:fldCharType="end"/>
        </w:r>
      </w:hyperlink>
    </w:p>
    <w:p w14:paraId="6A010AFA" w14:textId="793849E5" w:rsidR="00A074E9" w:rsidRPr="0046702C" w:rsidRDefault="00000000" w:rsidP="00A074E9">
      <w:pPr>
        <w:pStyle w:val="TOC1"/>
        <w:tabs>
          <w:tab w:val="left" w:pos="567"/>
          <w:tab w:val="right" w:pos="9854"/>
        </w:tabs>
        <w:rPr>
          <w:rFonts w:ascii="Century Gothic" w:hAnsi="Century Gothic"/>
          <w:noProof/>
          <w:color w:val="538135" w:themeColor="accent6" w:themeShade="BF"/>
          <w:sz w:val="21"/>
          <w:szCs w:val="21"/>
        </w:rPr>
      </w:pPr>
      <w:hyperlink w:anchor="_Toc129873008" w:history="1">
        <w:r w:rsidR="00A074E9" w:rsidRPr="0046702C">
          <w:rPr>
            <w:rStyle w:val="Hyperlink"/>
            <w:rFonts w:ascii="Century Gothic" w:hAnsi="Century Gothic"/>
            <w:noProof/>
            <w:color w:val="538135" w:themeColor="accent6" w:themeShade="BF"/>
            <w:sz w:val="21"/>
            <w:szCs w:val="21"/>
          </w:rPr>
          <w:t>Annex C: Access to the Teacher’s Upper Pay Range</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_Toc129873008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20</w:t>
        </w:r>
        <w:r w:rsidR="00A074E9" w:rsidRPr="0046702C">
          <w:rPr>
            <w:rFonts w:ascii="Century Gothic" w:hAnsi="Century Gothic"/>
            <w:noProof/>
            <w:webHidden/>
            <w:color w:val="538135" w:themeColor="accent6" w:themeShade="BF"/>
            <w:sz w:val="21"/>
            <w:szCs w:val="21"/>
          </w:rPr>
          <w:fldChar w:fldCharType="end"/>
        </w:r>
      </w:hyperlink>
    </w:p>
    <w:p w14:paraId="450F1B7F" w14:textId="32064044" w:rsidR="00A074E9" w:rsidRPr="0046702C" w:rsidRDefault="00000000" w:rsidP="00A074E9">
      <w:pPr>
        <w:pStyle w:val="TOC1"/>
        <w:tabs>
          <w:tab w:val="left" w:pos="567"/>
          <w:tab w:val="right" w:pos="9854"/>
        </w:tabs>
        <w:rPr>
          <w:rFonts w:ascii="Century Gothic" w:hAnsi="Century Gothic"/>
          <w:noProof/>
          <w:color w:val="538135" w:themeColor="accent6" w:themeShade="BF"/>
          <w:sz w:val="21"/>
          <w:szCs w:val="21"/>
        </w:rPr>
      </w:pPr>
      <w:hyperlink w:anchor="_Toc129873009" w:history="1">
        <w:r w:rsidR="00A074E9" w:rsidRPr="0046702C">
          <w:rPr>
            <w:rStyle w:val="Hyperlink"/>
            <w:rFonts w:ascii="Century Gothic" w:hAnsi="Century Gothic"/>
            <w:noProof/>
            <w:color w:val="538135" w:themeColor="accent6" w:themeShade="BF"/>
            <w:sz w:val="21"/>
            <w:szCs w:val="21"/>
          </w:rPr>
          <w:t>Annex D: Teachers: Recruitment and Retention Allowances or Benefits</w:t>
        </w:r>
        <w:r w:rsidR="00A074E9" w:rsidRPr="0046702C">
          <w:rPr>
            <w:rFonts w:ascii="Century Gothic" w:hAnsi="Century Gothic"/>
            <w:noProof/>
            <w:webHidden/>
            <w:color w:val="538135" w:themeColor="accent6" w:themeShade="BF"/>
            <w:sz w:val="21"/>
            <w:szCs w:val="21"/>
          </w:rPr>
          <w:tab/>
        </w:r>
      </w:hyperlink>
    </w:p>
    <w:p w14:paraId="6F9EA895" w14:textId="61220EC7" w:rsidR="00A074E9" w:rsidRPr="0046702C" w:rsidRDefault="00000000" w:rsidP="00A074E9">
      <w:pPr>
        <w:pStyle w:val="TOC1"/>
        <w:tabs>
          <w:tab w:val="left" w:pos="567"/>
          <w:tab w:val="right" w:pos="9854"/>
        </w:tabs>
        <w:rPr>
          <w:rFonts w:ascii="Century Gothic" w:hAnsi="Century Gothic"/>
          <w:noProof/>
          <w:color w:val="538135" w:themeColor="accent6" w:themeShade="BF"/>
          <w:sz w:val="21"/>
          <w:szCs w:val="21"/>
        </w:rPr>
      </w:pPr>
      <w:hyperlink w:anchor="_Toc129873010" w:history="1">
        <w:r w:rsidR="00A074E9" w:rsidRPr="0046702C">
          <w:rPr>
            <w:rStyle w:val="Hyperlink"/>
            <w:rFonts w:ascii="Century Gothic" w:hAnsi="Century Gothic"/>
            <w:noProof/>
            <w:color w:val="538135" w:themeColor="accent6" w:themeShade="BF"/>
            <w:sz w:val="21"/>
            <w:szCs w:val="21"/>
          </w:rPr>
          <w:t>Annexe E:The Salary Points and Progression on the Main, Upper and Unqualified Teacher Pay Ranges</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_Toc129873010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23</w:t>
        </w:r>
        <w:r w:rsidR="00A074E9" w:rsidRPr="0046702C">
          <w:rPr>
            <w:rFonts w:ascii="Century Gothic" w:hAnsi="Century Gothic"/>
            <w:noProof/>
            <w:webHidden/>
            <w:color w:val="538135" w:themeColor="accent6" w:themeShade="BF"/>
            <w:sz w:val="21"/>
            <w:szCs w:val="21"/>
          </w:rPr>
          <w:fldChar w:fldCharType="end"/>
        </w:r>
      </w:hyperlink>
    </w:p>
    <w:p w14:paraId="34B646FA" w14:textId="34DC3D35" w:rsidR="00A074E9" w:rsidRPr="0046702C" w:rsidRDefault="00000000" w:rsidP="00A074E9">
      <w:pPr>
        <w:pStyle w:val="TOC1"/>
        <w:tabs>
          <w:tab w:val="left" w:pos="567"/>
          <w:tab w:val="right" w:pos="9854"/>
        </w:tabs>
        <w:rPr>
          <w:rFonts w:ascii="Century Gothic" w:hAnsi="Century Gothic"/>
          <w:noProof/>
          <w:color w:val="538135" w:themeColor="accent6" w:themeShade="BF"/>
          <w:sz w:val="21"/>
          <w:szCs w:val="21"/>
        </w:rPr>
      </w:pPr>
      <w:hyperlink w:anchor="_Toc129873011" w:history="1">
        <w:r w:rsidR="00A074E9" w:rsidRPr="0046702C">
          <w:rPr>
            <w:rStyle w:val="Hyperlink"/>
            <w:rFonts w:ascii="Century Gothic" w:hAnsi="Century Gothic"/>
            <w:noProof/>
            <w:color w:val="538135" w:themeColor="accent6" w:themeShade="BF"/>
            <w:sz w:val="21"/>
            <w:szCs w:val="21"/>
          </w:rPr>
          <w:t>Annexe F: Teachers: The Appointment of Leading Practitioners</w:t>
        </w:r>
        <w:r w:rsidR="00A074E9" w:rsidRPr="0046702C">
          <w:rPr>
            <w:rFonts w:ascii="Century Gothic" w:hAnsi="Century Gothic"/>
            <w:noProof/>
            <w:webHidden/>
            <w:color w:val="538135" w:themeColor="accent6" w:themeShade="BF"/>
            <w:sz w:val="21"/>
            <w:szCs w:val="21"/>
          </w:rPr>
          <w:tab/>
        </w:r>
      </w:hyperlink>
    </w:p>
    <w:p w14:paraId="4FCDBF8F" w14:textId="34DD282C" w:rsidR="00A074E9" w:rsidRPr="0046702C" w:rsidRDefault="00000000" w:rsidP="00A074E9">
      <w:pPr>
        <w:pStyle w:val="TOC1"/>
        <w:tabs>
          <w:tab w:val="left" w:pos="567"/>
          <w:tab w:val="right" w:pos="9854"/>
        </w:tabs>
        <w:rPr>
          <w:rFonts w:ascii="Century Gothic" w:hAnsi="Century Gothic"/>
          <w:noProof/>
          <w:color w:val="538135" w:themeColor="accent6" w:themeShade="BF"/>
          <w:sz w:val="21"/>
          <w:szCs w:val="21"/>
        </w:rPr>
      </w:pPr>
      <w:hyperlink w:anchor="_Toc129873012" w:history="1">
        <w:r w:rsidR="00A074E9" w:rsidRPr="0046702C">
          <w:rPr>
            <w:rStyle w:val="Hyperlink"/>
            <w:rFonts w:ascii="Century Gothic" w:hAnsi="Century Gothic"/>
            <w:noProof/>
            <w:color w:val="538135" w:themeColor="accent6" w:themeShade="BF"/>
            <w:sz w:val="21"/>
            <w:szCs w:val="21"/>
          </w:rPr>
          <w:t>Annexe G: Salary Ranges and Arrangements for Teachers Paid on the Leadership Group Range</w:t>
        </w:r>
        <w:r w:rsidR="00A074E9" w:rsidRPr="0046702C">
          <w:rPr>
            <w:rFonts w:ascii="Century Gothic" w:hAnsi="Century Gothic"/>
            <w:noProof/>
            <w:webHidden/>
            <w:color w:val="538135" w:themeColor="accent6" w:themeShade="BF"/>
            <w:sz w:val="21"/>
            <w:szCs w:val="21"/>
          </w:rPr>
          <w:tab/>
        </w:r>
        <w:r w:rsidR="00A074E9" w:rsidRPr="0046702C">
          <w:rPr>
            <w:rFonts w:ascii="Century Gothic" w:hAnsi="Century Gothic"/>
            <w:noProof/>
            <w:webHidden/>
            <w:color w:val="538135" w:themeColor="accent6" w:themeShade="BF"/>
            <w:sz w:val="21"/>
            <w:szCs w:val="21"/>
          </w:rPr>
          <w:fldChar w:fldCharType="begin"/>
        </w:r>
        <w:r w:rsidR="00A074E9" w:rsidRPr="0046702C">
          <w:rPr>
            <w:rFonts w:ascii="Century Gothic" w:hAnsi="Century Gothic"/>
            <w:noProof/>
            <w:webHidden/>
            <w:color w:val="538135" w:themeColor="accent6" w:themeShade="BF"/>
            <w:sz w:val="21"/>
            <w:szCs w:val="21"/>
          </w:rPr>
          <w:instrText xml:space="preserve"> PAGEREF _Toc129873012 \h </w:instrText>
        </w:r>
        <w:r w:rsidR="00A074E9" w:rsidRPr="0046702C">
          <w:rPr>
            <w:rFonts w:ascii="Century Gothic" w:hAnsi="Century Gothic"/>
            <w:noProof/>
            <w:webHidden/>
            <w:color w:val="538135" w:themeColor="accent6" w:themeShade="BF"/>
            <w:sz w:val="21"/>
            <w:szCs w:val="21"/>
          </w:rPr>
        </w:r>
        <w:r w:rsidR="00A074E9" w:rsidRPr="0046702C">
          <w:rPr>
            <w:rFonts w:ascii="Century Gothic" w:hAnsi="Century Gothic"/>
            <w:noProof/>
            <w:webHidden/>
            <w:color w:val="538135" w:themeColor="accent6" w:themeShade="BF"/>
            <w:sz w:val="21"/>
            <w:szCs w:val="21"/>
          </w:rPr>
          <w:fldChar w:fldCharType="separate"/>
        </w:r>
        <w:r w:rsidR="00C34513" w:rsidRPr="0046702C">
          <w:rPr>
            <w:rFonts w:ascii="Century Gothic" w:hAnsi="Century Gothic"/>
            <w:noProof/>
            <w:webHidden/>
            <w:color w:val="538135" w:themeColor="accent6" w:themeShade="BF"/>
            <w:sz w:val="21"/>
            <w:szCs w:val="21"/>
          </w:rPr>
          <w:t>25</w:t>
        </w:r>
        <w:r w:rsidR="00A074E9" w:rsidRPr="0046702C">
          <w:rPr>
            <w:rFonts w:ascii="Century Gothic" w:hAnsi="Century Gothic"/>
            <w:noProof/>
            <w:webHidden/>
            <w:color w:val="538135" w:themeColor="accent6" w:themeShade="BF"/>
            <w:sz w:val="21"/>
            <w:szCs w:val="21"/>
          </w:rPr>
          <w:fldChar w:fldCharType="end"/>
        </w:r>
      </w:hyperlink>
    </w:p>
    <w:p w14:paraId="233AA984" w14:textId="0024DF31" w:rsidR="00A074E9" w:rsidRPr="0046702C" w:rsidRDefault="00000000" w:rsidP="00A074E9">
      <w:pPr>
        <w:pStyle w:val="TOC1"/>
        <w:tabs>
          <w:tab w:val="left" w:pos="567"/>
          <w:tab w:val="right" w:pos="9854"/>
        </w:tabs>
        <w:rPr>
          <w:rFonts w:ascii="Century Gothic" w:hAnsi="Century Gothic"/>
          <w:noProof/>
          <w:color w:val="538135" w:themeColor="accent6" w:themeShade="BF"/>
          <w:sz w:val="21"/>
          <w:szCs w:val="21"/>
        </w:rPr>
      </w:pPr>
      <w:hyperlink w:anchor="_Toc129873013" w:history="1">
        <w:r w:rsidR="00A074E9" w:rsidRPr="0046702C">
          <w:rPr>
            <w:rStyle w:val="Hyperlink"/>
            <w:rFonts w:ascii="Century Gothic" w:hAnsi="Century Gothic"/>
            <w:noProof/>
            <w:color w:val="538135" w:themeColor="accent6" w:themeShade="BF"/>
            <w:sz w:val="21"/>
            <w:szCs w:val="21"/>
          </w:rPr>
          <w:t>Annex H: Support Staff pay scales</w:t>
        </w:r>
        <w:r w:rsidR="00A074E9" w:rsidRPr="0046702C">
          <w:rPr>
            <w:rFonts w:ascii="Century Gothic" w:hAnsi="Century Gothic"/>
            <w:noProof/>
            <w:webHidden/>
            <w:color w:val="538135" w:themeColor="accent6" w:themeShade="BF"/>
            <w:sz w:val="21"/>
            <w:szCs w:val="21"/>
          </w:rPr>
          <w:tab/>
        </w:r>
      </w:hyperlink>
    </w:p>
    <w:p w14:paraId="5E2697C9" w14:textId="53C7CC22" w:rsidR="008566A6" w:rsidRPr="0046702C" w:rsidRDefault="00A074E9" w:rsidP="0046702C">
      <w:pPr>
        <w:pStyle w:val="EPMTextstyle"/>
        <w:rPr>
          <w:rFonts w:ascii="Century Gothic" w:hAnsi="Century Gothic"/>
          <w:color w:val="538135" w:themeColor="accent6" w:themeShade="BF"/>
        </w:rPr>
      </w:pPr>
      <w:r w:rsidRPr="0046702C">
        <w:rPr>
          <w:rFonts w:ascii="Century Gothic" w:hAnsi="Century Gothic"/>
          <w:color w:val="538135" w:themeColor="accent6" w:themeShade="BF"/>
          <w:szCs w:val="21"/>
        </w:rPr>
        <w:fldChar w:fldCharType="end"/>
      </w:r>
      <w:r w:rsidR="008566A6" w:rsidRPr="0046702C">
        <w:rPr>
          <w:rFonts w:ascii="Century Gothic" w:hAnsi="Century Gothic"/>
          <w:color w:val="538135" w:themeColor="accent6" w:themeShade="BF"/>
        </w:rPr>
        <w:br w:type="page"/>
      </w:r>
    </w:p>
    <w:p w14:paraId="2A2FD466" w14:textId="4C2456FC" w:rsidR="006B21DC" w:rsidRPr="0046702C" w:rsidRDefault="4FA3FAC6" w:rsidP="00B56C3C">
      <w:pPr>
        <w:pStyle w:val="EPMPageHeading"/>
        <w:rPr>
          <w:rFonts w:ascii="Century Gothic" w:hAnsi="Century Gothic"/>
          <w:color w:val="538135" w:themeColor="accent6" w:themeShade="BF"/>
        </w:rPr>
      </w:pPr>
      <w:bookmarkStart w:id="3" w:name="_Toc129872985"/>
      <w:r w:rsidRPr="0046702C">
        <w:rPr>
          <w:rFonts w:ascii="Century Gothic" w:hAnsi="Century Gothic"/>
          <w:color w:val="538135" w:themeColor="accent6" w:themeShade="BF"/>
        </w:rPr>
        <w:lastRenderedPageBreak/>
        <w:t>Pay Policy 202</w:t>
      </w:r>
      <w:r w:rsidR="39B35CC2" w:rsidRPr="0046702C">
        <w:rPr>
          <w:rFonts w:ascii="Century Gothic" w:hAnsi="Century Gothic"/>
          <w:color w:val="538135" w:themeColor="accent6" w:themeShade="BF"/>
        </w:rPr>
        <w:t>3</w:t>
      </w:r>
      <w:bookmarkEnd w:id="3"/>
    </w:p>
    <w:p w14:paraId="1AD9D1EF" w14:textId="77777777" w:rsidR="00F6276F" w:rsidRPr="0046702C" w:rsidRDefault="00F6276F" w:rsidP="000F5339">
      <w:pPr>
        <w:pStyle w:val="EPMTextstyle"/>
        <w:rPr>
          <w:rFonts w:ascii="Century Gothic" w:hAnsi="Century Gothic"/>
          <w:color w:val="538135" w:themeColor="accent6" w:themeShade="BF"/>
        </w:rPr>
      </w:pPr>
      <w:bookmarkStart w:id="4" w:name="_Toc492546236"/>
      <w:bookmarkStart w:id="5" w:name="_Toc21087895"/>
      <w:bookmarkStart w:id="6" w:name="_Toc21097440"/>
      <w:bookmarkStart w:id="7" w:name="_Toc21097700"/>
      <w:bookmarkStart w:id="8" w:name="_Toc118383095"/>
      <w:r w:rsidRPr="0046702C">
        <w:rPr>
          <w:rFonts w:ascii="Century Gothic" w:hAnsi="Century Gothic"/>
          <w:color w:val="538135" w:themeColor="accent6" w:themeShade="BF"/>
        </w:rPr>
        <w:t>For the Guidance of the Governing Body, Academy or Trust</w:t>
      </w:r>
      <w:bookmarkEnd w:id="4"/>
      <w:bookmarkEnd w:id="5"/>
      <w:bookmarkEnd w:id="6"/>
      <w:bookmarkEnd w:id="7"/>
      <w:bookmarkEnd w:id="8"/>
    </w:p>
    <w:p w14:paraId="2C2A811A" w14:textId="77777777" w:rsidR="00416389" w:rsidRPr="0046702C" w:rsidRDefault="00416389" w:rsidP="000F5339">
      <w:pPr>
        <w:pStyle w:val="EPMTextstyle"/>
        <w:rPr>
          <w:rFonts w:ascii="Century Gothic" w:hAnsi="Century Gothic"/>
          <w:color w:val="538135" w:themeColor="accent6" w:themeShade="BF"/>
        </w:rPr>
      </w:pPr>
      <w:r w:rsidRPr="0046702C">
        <w:rPr>
          <w:rFonts w:ascii="Century Gothic" w:hAnsi="Century Gothic"/>
          <w:color w:val="538135" w:themeColor="accent6" w:themeShade="BF"/>
        </w:rPr>
        <w:t>Definitions:</w:t>
      </w:r>
    </w:p>
    <w:p w14:paraId="75A78A4C" w14:textId="77777777" w:rsidR="00416389" w:rsidRPr="0046702C" w:rsidRDefault="00416389" w:rsidP="000F5339">
      <w:pPr>
        <w:pStyle w:val="EPMBullets"/>
        <w:rPr>
          <w:rFonts w:ascii="Century Gothic" w:hAnsi="Century Gothic"/>
          <w:color w:val="538135" w:themeColor="accent6" w:themeShade="BF"/>
        </w:rPr>
      </w:pPr>
      <w:r w:rsidRPr="0046702C">
        <w:rPr>
          <w:rFonts w:ascii="Century Gothic" w:hAnsi="Century Gothic"/>
          <w:color w:val="538135" w:themeColor="accent6" w:themeShade="BF"/>
        </w:rPr>
        <w:t xml:space="preserve">Headteacher also means Chief Executive Officer, Executive Principal, Principal, Head of School </w:t>
      </w:r>
    </w:p>
    <w:p w14:paraId="37718D3B" w14:textId="77777777" w:rsidR="00416389" w:rsidRPr="0046702C" w:rsidRDefault="00416389" w:rsidP="000F5339">
      <w:pPr>
        <w:pStyle w:val="EPMBullets"/>
        <w:rPr>
          <w:rFonts w:ascii="Century Gothic" w:hAnsi="Century Gothic"/>
          <w:color w:val="538135" w:themeColor="accent6" w:themeShade="BF"/>
        </w:rPr>
      </w:pPr>
      <w:r w:rsidRPr="0046702C">
        <w:rPr>
          <w:rFonts w:ascii="Century Gothic" w:hAnsi="Century Gothic"/>
          <w:color w:val="538135" w:themeColor="accent6" w:themeShade="BF"/>
        </w:rPr>
        <w:t>School also means Academy or Academies</w:t>
      </w:r>
    </w:p>
    <w:p w14:paraId="1A43E195" w14:textId="77777777" w:rsidR="00416389" w:rsidRPr="0046702C" w:rsidRDefault="00416389" w:rsidP="000F5339">
      <w:pPr>
        <w:pStyle w:val="EPMBullets"/>
        <w:rPr>
          <w:rFonts w:ascii="Century Gothic" w:hAnsi="Century Gothic"/>
          <w:color w:val="538135" w:themeColor="accent6" w:themeShade="BF"/>
        </w:rPr>
      </w:pPr>
      <w:r w:rsidRPr="0046702C">
        <w:rPr>
          <w:rFonts w:ascii="Century Gothic" w:hAnsi="Century Gothic"/>
          <w:color w:val="538135" w:themeColor="accent6" w:themeShade="BF"/>
        </w:rPr>
        <w:t>Governors also means Trustees or Directors</w:t>
      </w:r>
    </w:p>
    <w:p w14:paraId="3931E01B" w14:textId="77777777" w:rsidR="00416389" w:rsidRPr="0046702C" w:rsidRDefault="00416389" w:rsidP="000F5339">
      <w:pPr>
        <w:pStyle w:val="EPMBullets"/>
        <w:ind w:left="284" w:hanging="284"/>
        <w:rPr>
          <w:rFonts w:ascii="Century Gothic" w:hAnsi="Century Gothic"/>
          <w:color w:val="538135" w:themeColor="accent6" w:themeShade="BF"/>
        </w:rPr>
      </w:pPr>
      <w:r w:rsidRPr="0046702C">
        <w:rPr>
          <w:rFonts w:ascii="Century Gothic" w:hAnsi="Century Gothic"/>
          <w:color w:val="538135" w:themeColor="accent6" w:themeShade="BF"/>
        </w:rPr>
        <w:t xml:space="preserve">Pay Body means governing body for a Maintained School, Single Academy or Trustees, Directors or Members of a Trust (according to the employer’s Scheme of Delegation). </w:t>
      </w:r>
    </w:p>
    <w:p w14:paraId="23143804" w14:textId="5DD5D0E5" w:rsidR="00092BD7" w:rsidRPr="0046702C" w:rsidRDefault="00092BD7">
      <w:pPr>
        <w:rPr>
          <w:rFonts w:ascii="Century Gothic" w:hAnsi="Century Gothic"/>
          <w:color w:val="538135" w:themeColor="accent6" w:themeShade="BF"/>
        </w:rPr>
      </w:pPr>
      <w:r w:rsidRPr="0046702C">
        <w:rPr>
          <w:rFonts w:ascii="Century Gothic" w:hAnsi="Century Gothic"/>
          <w:color w:val="538135" w:themeColor="accent6" w:themeShade="BF"/>
        </w:rPr>
        <w:br w:type="page"/>
      </w:r>
    </w:p>
    <w:p w14:paraId="1E6F2D56" w14:textId="77777777" w:rsidR="00671C94" w:rsidRPr="0046702C" w:rsidRDefault="00671C94">
      <w:pPr>
        <w:rPr>
          <w:rFonts w:ascii="Century Gothic" w:hAnsi="Century Gothic" w:cs="Arial"/>
          <w:color w:val="538135" w:themeColor="accent6" w:themeShade="BF"/>
          <w:sz w:val="21"/>
          <w:szCs w:val="20"/>
        </w:rPr>
      </w:pPr>
    </w:p>
    <w:p w14:paraId="30D81978" w14:textId="77777777" w:rsidR="003C02CA" w:rsidRPr="0046702C" w:rsidRDefault="003C02CA" w:rsidP="00D94F93">
      <w:pPr>
        <w:pStyle w:val="EPMNumberedHeading"/>
        <w:rPr>
          <w:rFonts w:ascii="Century Gothic" w:hAnsi="Century Gothic"/>
          <w:color w:val="538135" w:themeColor="accent6" w:themeShade="BF"/>
        </w:rPr>
      </w:pPr>
      <w:bookmarkStart w:id="9" w:name="_Toc21097701"/>
      <w:bookmarkStart w:id="10" w:name="_Toc118383096"/>
      <w:bookmarkStart w:id="11" w:name="_Toc129872986"/>
      <w:r w:rsidRPr="0046702C">
        <w:rPr>
          <w:rFonts w:ascii="Century Gothic" w:hAnsi="Century Gothic"/>
          <w:color w:val="538135" w:themeColor="accent6" w:themeShade="BF"/>
        </w:rPr>
        <w:t>Introduction</w:t>
      </w:r>
      <w:bookmarkEnd w:id="9"/>
      <w:bookmarkEnd w:id="10"/>
      <w:bookmarkEnd w:id="11"/>
    </w:p>
    <w:p w14:paraId="6D55E0C4" w14:textId="2DF9EA9D" w:rsidR="003C02CA" w:rsidRPr="0046702C" w:rsidRDefault="7E56AC81" w:rsidP="00D94F93">
      <w:pPr>
        <w:pStyle w:val="EPMSubheading"/>
        <w:ind w:left="709"/>
        <w:rPr>
          <w:rFonts w:ascii="Century Gothic" w:hAnsi="Century Gothic"/>
          <w:color w:val="538135" w:themeColor="accent6" w:themeShade="BF"/>
        </w:rPr>
      </w:pPr>
      <w:bookmarkStart w:id="12" w:name="_Toc118383097"/>
      <w:r w:rsidRPr="0046702C">
        <w:rPr>
          <w:rFonts w:ascii="Century Gothic" w:hAnsi="Century Gothic"/>
          <w:color w:val="538135" w:themeColor="accent6" w:themeShade="BF"/>
        </w:rPr>
        <w:t>September 202</w:t>
      </w:r>
      <w:r w:rsidR="0D12D4F4" w:rsidRPr="0046702C">
        <w:rPr>
          <w:rFonts w:ascii="Century Gothic" w:hAnsi="Century Gothic"/>
          <w:color w:val="538135" w:themeColor="accent6" w:themeShade="BF"/>
        </w:rPr>
        <w:t>3</w:t>
      </w:r>
      <w:r w:rsidRPr="0046702C">
        <w:rPr>
          <w:rFonts w:ascii="Century Gothic" w:hAnsi="Century Gothic"/>
          <w:color w:val="538135" w:themeColor="accent6" w:themeShade="BF"/>
        </w:rPr>
        <w:t xml:space="preserve"> Pay Award</w:t>
      </w:r>
      <w:bookmarkEnd w:id="12"/>
      <w:r w:rsidRPr="0046702C">
        <w:rPr>
          <w:rFonts w:ascii="Century Gothic" w:hAnsi="Century Gothic"/>
          <w:color w:val="538135" w:themeColor="accent6" w:themeShade="BF"/>
        </w:rPr>
        <w:t xml:space="preserve"> </w:t>
      </w:r>
    </w:p>
    <w:p w14:paraId="49F65CAC" w14:textId="1F59A4C3" w:rsidR="00505B27" w:rsidRPr="0046702C" w:rsidRDefault="7A30293A" w:rsidP="00D94F93">
      <w:pPr>
        <w:pStyle w:val="Numberedsubheading"/>
        <w:rPr>
          <w:rStyle w:val="BracketsinsertwordingChar"/>
          <w:rFonts w:ascii="Century Gothic" w:hAnsi="Century Gothic"/>
          <w:b/>
          <w:bCs/>
          <w:color w:val="538135" w:themeColor="accent6" w:themeShade="BF"/>
        </w:rPr>
      </w:pPr>
      <w:r w:rsidRPr="0046702C">
        <w:rPr>
          <w:rFonts w:ascii="Century Gothic" w:hAnsi="Century Gothic"/>
          <w:color w:val="538135" w:themeColor="accent6" w:themeShade="BF"/>
        </w:rPr>
        <w:t>The minimum and maximum of the pay ranges and allowances for the September 202</w:t>
      </w:r>
      <w:r w:rsidR="54ADC4E4" w:rsidRPr="0046702C">
        <w:rPr>
          <w:rFonts w:ascii="Century Gothic" w:hAnsi="Century Gothic"/>
          <w:color w:val="538135" w:themeColor="accent6" w:themeShade="BF"/>
        </w:rPr>
        <w:t>3</w:t>
      </w:r>
      <w:r w:rsidRPr="0046702C">
        <w:rPr>
          <w:rFonts w:ascii="Century Gothic" w:hAnsi="Century Gothic"/>
          <w:color w:val="538135" w:themeColor="accent6" w:themeShade="BF"/>
        </w:rPr>
        <w:t xml:space="preserve"> pay award are set out in the STPCD 202</w:t>
      </w:r>
      <w:r w:rsidR="51CD8078" w:rsidRPr="0046702C">
        <w:rPr>
          <w:rFonts w:ascii="Century Gothic" w:hAnsi="Century Gothic"/>
          <w:color w:val="538135" w:themeColor="accent6" w:themeShade="BF"/>
        </w:rPr>
        <w:t>3</w:t>
      </w:r>
      <w:r w:rsidRPr="0046702C">
        <w:rPr>
          <w:rFonts w:ascii="Century Gothic" w:hAnsi="Century Gothic"/>
          <w:color w:val="538135" w:themeColor="accent6" w:themeShade="BF"/>
        </w:rPr>
        <w:t xml:space="preserve">, </w:t>
      </w:r>
      <w:r w:rsidRPr="0046702C">
        <w:rPr>
          <w:rStyle w:val="EPMBracketChar"/>
          <w:rFonts w:ascii="Century Gothic" w:hAnsi="Century Gothic"/>
          <w:color w:val="538135" w:themeColor="accent6" w:themeShade="BF"/>
        </w:rPr>
        <w:t>[along with advisory rates for the Pay Ranges]</w:t>
      </w:r>
      <w:r w:rsidRPr="0046702C">
        <w:rPr>
          <w:rStyle w:val="BracketsinsertwordingChar"/>
          <w:rFonts w:ascii="Century Gothic" w:hAnsi="Century Gothic"/>
          <w:b/>
          <w:bCs/>
          <w:color w:val="538135" w:themeColor="accent6" w:themeShade="BF"/>
        </w:rPr>
        <w:t>.</w:t>
      </w:r>
    </w:p>
    <w:p w14:paraId="0B4E1DA3" w14:textId="44C2C033" w:rsidR="00505B27" w:rsidRPr="0046702C" w:rsidRDefault="7A30293A"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Decisions about teachers’ pay progression must be linked to the Appraisal Policy and are based on criteria set out in the School’s Pay Policy 202</w:t>
      </w:r>
      <w:r w:rsidR="5B972DF3" w:rsidRPr="0046702C">
        <w:rPr>
          <w:rFonts w:ascii="Century Gothic" w:hAnsi="Century Gothic"/>
          <w:color w:val="538135" w:themeColor="accent6" w:themeShade="BF"/>
        </w:rPr>
        <w:t>2</w:t>
      </w:r>
      <w:r w:rsidRPr="0046702C">
        <w:rPr>
          <w:rFonts w:ascii="Century Gothic" w:hAnsi="Century Gothic"/>
          <w:color w:val="538135" w:themeColor="accent6" w:themeShade="BF"/>
        </w:rPr>
        <w:t>/202</w:t>
      </w:r>
      <w:r w:rsidR="3449E1A8" w:rsidRPr="0046702C">
        <w:rPr>
          <w:rFonts w:ascii="Century Gothic" w:hAnsi="Century Gothic"/>
          <w:color w:val="538135" w:themeColor="accent6" w:themeShade="BF"/>
        </w:rPr>
        <w:t>3</w:t>
      </w:r>
      <w:r w:rsidRPr="0046702C">
        <w:rPr>
          <w:rFonts w:ascii="Century Gothic" w:hAnsi="Century Gothic"/>
          <w:color w:val="538135" w:themeColor="accent6" w:themeShade="BF"/>
        </w:rPr>
        <w:t xml:space="preserve">. </w:t>
      </w:r>
    </w:p>
    <w:p w14:paraId="4ED39FF3" w14:textId="77777777" w:rsidR="00505B27" w:rsidRPr="0046702C" w:rsidRDefault="00505B27"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will operate the Pay Policy as the ‘relevant body’, as defined in the STPCD, and for the pay arrangements agreed for all the support staff which will:</w:t>
      </w:r>
    </w:p>
    <w:p w14:paraId="27AC0DC9" w14:textId="77777777" w:rsidR="00505B27" w:rsidRPr="0046702C" w:rsidRDefault="00505B27"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Grade posts appropriately within the conditions of employment identified in the current STPCD and the conditions of service for support staff employed by the Pay Body.</w:t>
      </w:r>
    </w:p>
    <w:p w14:paraId="0E99B010" w14:textId="77777777" w:rsidR="00505B27" w:rsidRPr="0046702C" w:rsidRDefault="00505B27"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Take into account pay relativities between posts within the teachers of the Pay Body and support staff of the Pay Body.</w:t>
      </w:r>
    </w:p>
    <w:p w14:paraId="390419B3" w14:textId="07340E94" w:rsidR="00505B27" w:rsidRPr="0046702C" w:rsidRDefault="7A30293A"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Ensure that the annual appraisal of all teaching staff, including those absent from duty for any reason, is fairly and properly conducted in accordance with the School’s Appraisal Policy as soon as possible </w:t>
      </w:r>
      <w:r w:rsidRPr="0046702C">
        <w:rPr>
          <w:rStyle w:val="EPMBracketChar"/>
          <w:rFonts w:ascii="Century Gothic" w:hAnsi="Century Gothic"/>
          <w:color w:val="538135" w:themeColor="accent6" w:themeShade="BF"/>
        </w:rPr>
        <w:t>[by 31 October 202</w:t>
      </w:r>
      <w:r w:rsidR="42878E7F" w:rsidRPr="0046702C">
        <w:rPr>
          <w:rStyle w:val="EPMBracketChar"/>
          <w:rFonts w:ascii="Century Gothic" w:hAnsi="Century Gothic"/>
          <w:color w:val="538135" w:themeColor="accent6" w:themeShade="BF"/>
        </w:rPr>
        <w:t>3</w:t>
      </w:r>
      <w:r w:rsidRPr="0046702C">
        <w:rPr>
          <w:rStyle w:val="EPMBracketChar"/>
          <w:rFonts w:ascii="Century Gothic" w:hAnsi="Century Gothic"/>
          <w:color w:val="538135" w:themeColor="accent6" w:themeShade="BF"/>
        </w:rPr>
        <w:t>, at the latest; 31 December 202</w:t>
      </w:r>
      <w:r w:rsidR="56A4CFF8" w:rsidRPr="0046702C">
        <w:rPr>
          <w:rStyle w:val="EPMBracketChar"/>
          <w:rFonts w:ascii="Century Gothic" w:hAnsi="Century Gothic"/>
          <w:color w:val="538135" w:themeColor="accent6" w:themeShade="BF"/>
        </w:rPr>
        <w:t>3</w:t>
      </w:r>
      <w:r w:rsidRPr="0046702C">
        <w:rPr>
          <w:rStyle w:val="EPMBracketChar"/>
          <w:rFonts w:ascii="Century Gothic" w:hAnsi="Century Gothic"/>
          <w:color w:val="538135" w:themeColor="accent6" w:themeShade="BF"/>
        </w:rPr>
        <w:t>, for the Headteacher]</w:t>
      </w:r>
      <w:r w:rsidRPr="0046702C">
        <w:rPr>
          <w:rFonts w:ascii="Century Gothic" w:hAnsi="Century Gothic"/>
          <w:color w:val="538135" w:themeColor="accent6" w:themeShade="BF"/>
        </w:rPr>
        <w:t>.</w:t>
      </w:r>
    </w:p>
    <w:p w14:paraId="6D5AB13B" w14:textId="77777777" w:rsidR="00505B27" w:rsidRPr="0046702C" w:rsidRDefault="00505B27"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Where a pay determination leads or may lead to the start of a period of safeguarding, the Pay Body will give the required written statement of notification as soon as possible, and no later than one month after the date of the determination.</w:t>
      </w:r>
    </w:p>
    <w:p w14:paraId="4B4E1008" w14:textId="77777777" w:rsidR="00505B27" w:rsidRPr="0046702C" w:rsidRDefault="00505B27"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Ensure that discretion available under the STPCD is exercised in a fair and equitable manner. </w:t>
      </w:r>
    </w:p>
    <w:p w14:paraId="0CC9D674" w14:textId="77777777" w:rsidR="00505B27" w:rsidRPr="0046702C" w:rsidRDefault="00505B27"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Give recognition to assigned Teaching and Learning Responsibilities (TLR), whether for a permanent post, an acting period, or a temporary project (TLR3).</w:t>
      </w:r>
    </w:p>
    <w:p w14:paraId="3634E7EC" w14:textId="77777777" w:rsidR="00505B27" w:rsidRPr="0046702C" w:rsidRDefault="00505B27"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Comply with the salary safeguarding arrangements in the current STPCD.</w:t>
      </w:r>
    </w:p>
    <w:p w14:paraId="26B22306" w14:textId="77777777" w:rsidR="00505B27" w:rsidRPr="0046702C" w:rsidRDefault="00505B27"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Ensure that an appropriate evaluation process is used to determine the salary range for members of support staff.</w:t>
      </w:r>
    </w:p>
    <w:p w14:paraId="1AF6724D" w14:textId="77777777" w:rsidR="00505B27" w:rsidRPr="0046702C" w:rsidRDefault="00505B27"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This policy statement will be available to employees of the Pay Body.</w:t>
      </w:r>
    </w:p>
    <w:p w14:paraId="6EBBDA7F" w14:textId="1AECB9F2" w:rsidR="00505B27" w:rsidRPr="0046702C" w:rsidRDefault="00505B27">
      <w:pPr>
        <w:rPr>
          <w:rFonts w:ascii="Century Gothic" w:hAnsi="Century Gothic" w:cs="Arial"/>
          <w:color w:val="538135" w:themeColor="accent6" w:themeShade="BF"/>
          <w:sz w:val="21"/>
          <w:szCs w:val="20"/>
        </w:rPr>
      </w:pPr>
    </w:p>
    <w:p w14:paraId="7A7ADB4F" w14:textId="77777777" w:rsidR="00D22050" w:rsidRPr="0046702C" w:rsidRDefault="00D22050" w:rsidP="00D94F93">
      <w:pPr>
        <w:pStyle w:val="EPMNumberedHeading"/>
        <w:rPr>
          <w:rFonts w:ascii="Century Gothic" w:hAnsi="Century Gothic"/>
          <w:color w:val="538135" w:themeColor="accent6" w:themeShade="BF"/>
        </w:rPr>
      </w:pPr>
      <w:bookmarkStart w:id="13" w:name="_Toc492546238"/>
      <w:bookmarkStart w:id="14" w:name="_Toc21097702"/>
      <w:bookmarkStart w:id="15" w:name="_Toc118383098"/>
      <w:bookmarkStart w:id="16" w:name="_Toc129872987"/>
      <w:r w:rsidRPr="0046702C">
        <w:rPr>
          <w:rFonts w:ascii="Century Gothic" w:hAnsi="Century Gothic"/>
          <w:color w:val="538135" w:themeColor="accent6" w:themeShade="BF"/>
        </w:rPr>
        <w:t>Delegation of Decision Making</w:t>
      </w:r>
      <w:bookmarkEnd w:id="13"/>
      <w:bookmarkEnd w:id="14"/>
      <w:bookmarkEnd w:id="15"/>
      <w:bookmarkEnd w:id="16"/>
      <w:r w:rsidRPr="0046702C">
        <w:rPr>
          <w:rFonts w:ascii="Century Gothic" w:hAnsi="Century Gothic"/>
          <w:color w:val="538135" w:themeColor="accent6" w:themeShade="BF"/>
        </w:rPr>
        <w:t xml:space="preserve"> </w:t>
      </w:r>
    </w:p>
    <w:p w14:paraId="563C64DA" w14:textId="77777777" w:rsidR="00D22050" w:rsidRPr="0046702C" w:rsidRDefault="00D22050" w:rsidP="00D94F93">
      <w:pPr>
        <w:pStyle w:val="EPMSubheading"/>
        <w:ind w:left="709"/>
        <w:rPr>
          <w:rFonts w:ascii="Century Gothic" w:hAnsi="Century Gothic"/>
          <w:color w:val="538135" w:themeColor="accent6" w:themeShade="BF"/>
        </w:rPr>
      </w:pPr>
      <w:bookmarkStart w:id="17" w:name="_Toc118383099"/>
      <w:r w:rsidRPr="0046702C">
        <w:rPr>
          <w:rFonts w:ascii="Century Gothic" w:hAnsi="Century Gothic"/>
          <w:color w:val="538135" w:themeColor="accent6" w:themeShade="BF"/>
        </w:rPr>
        <w:t>Headteacher</w:t>
      </w:r>
      <w:bookmarkEnd w:id="17"/>
    </w:p>
    <w:p w14:paraId="65F5E279" w14:textId="77777777" w:rsidR="00D22050" w:rsidRPr="0046702C" w:rsidRDefault="00D22050"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will delegate the day-to-day management of this policy to the Headteacher, except where stated otherwise. Where the Headteacher has used discretion, as allowed under certain provisions of the STPCD and the pay provisions for support staff, they will ensure the Pay Body is informed.</w:t>
      </w:r>
    </w:p>
    <w:p w14:paraId="24FE2FA6" w14:textId="77777777" w:rsidR="00D22050" w:rsidRPr="0046702C" w:rsidRDefault="00D22050"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lastRenderedPageBreak/>
        <w:t>The Headteacher shall make annual recommendations on the salary of all employees to the Pay Body. This will include sufficient information for the Pay Body to assess their position with regard to the gender pay gap reporting requirements and public sector equality duty.</w:t>
      </w:r>
    </w:p>
    <w:p w14:paraId="4676B82A" w14:textId="77777777" w:rsidR="00D22050" w:rsidRPr="0046702C" w:rsidRDefault="00D22050"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Headteacher will have regard for the budget and the requirements of employment legislation; in particular the following, and shall seek advice as and when required:</w:t>
      </w:r>
    </w:p>
    <w:p w14:paraId="7741B9D8" w14:textId="77777777" w:rsidR="00B821ED" w:rsidRPr="0046702C" w:rsidRDefault="00B821ED" w:rsidP="004024A6">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The Equality Act 2010 (including requirements under the Public Sector Equality Duty and Gender Pay Gap reporting requirements)</w:t>
      </w:r>
    </w:p>
    <w:p w14:paraId="2F838CC7" w14:textId="77777777" w:rsidR="00B821ED" w:rsidRPr="0046702C" w:rsidRDefault="00000000" w:rsidP="004024A6">
      <w:pPr>
        <w:pStyle w:val="EPMBullets"/>
        <w:ind w:left="1843" w:hanging="425"/>
        <w:rPr>
          <w:rFonts w:ascii="Century Gothic" w:hAnsi="Century Gothic"/>
          <w:color w:val="538135" w:themeColor="accent6" w:themeShade="BF"/>
        </w:rPr>
      </w:pPr>
      <w:hyperlink r:id="rId14" w:history="1">
        <w:r w:rsidR="00B821ED" w:rsidRPr="0046702C">
          <w:rPr>
            <w:rFonts w:ascii="Century Gothic" w:hAnsi="Century Gothic"/>
            <w:color w:val="538135" w:themeColor="accent6" w:themeShade="BF"/>
          </w:rPr>
          <w:t>The Employment Rights Act 1996</w:t>
        </w:r>
      </w:hyperlink>
    </w:p>
    <w:p w14:paraId="64BC8B21" w14:textId="77777777" w:rsidR="00B821ED" w:rsidRPr="0046702C" w:rsidRDefault="00B821ED" w:rsidP="004024A6">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 xml:space="preserve">The Employment Relations Act 1999 </w:t>
      </w:r>
    </w:p>
    <w:p w14:paraId="30324CDA" w14:textId="77777777" w:rsidR="00B821ED" w:rsidRPr="0046702C" w:rsidRDefault="00000000" w:rsidP="004024A6">
      <w:pPr>
        <w:pStyle w:val="EPMBullets"/>
        <w:ind w:left="1843" w:hanging="425"/>
        <w:rPr>
          <w:rFonts w:ascii="Century Gothic" w:hAnsi="Century Gothic"/>
          <w:color w:val="538135" w:themeColor="accent6" w:themeShade="BF"/>
        </w:rPr>
      </w:pPr>
      <w:hyperlink r:id="rId15" w:history="1">
        <w:r w:rsidR="00B821ED" w:rsidRPr="0046702C">
          <w:rPr>
            <w:rFonts w:ascii="Century Gothic" w:hAnsi="Century Gothic"/>
            <w:color w:val="538135" w:themeColor="accent6" w:themeShade="BF"/>
          </w:rPr>
          <w:t>The Employment Act 2002</w:t>
        </w:r>
      </w:hyperlink>
      <w:r w:rsidR="00B821ED" w:rsidRPr="0046702C">
        <w:rPr>
          <w:rFonts w:ascii="Century Gothic" w:hAnsi="Century Gothic"/>
          <w:color w:val="538135" w:themeColor="accent6" w:themeShade="BF"/>
        </w:rPr>
        <w:t xml:space="preserve"> </w:t>
      </w:r>
    </w:p>
    <w:p w14:paraId="14BB1533" w14:textId="77777777" w:rsidR="00B821ED" w:rsidRPr="0046702C" w:rsidRDefault="00B821ED" w:rsidP="004024A6">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The Part-time Workers (Prevention of Less Favourable Treatment) Regulations 2000</w:t>
      </w:r>
    </w:p>
    <w:p w14:paraId="6828FC5F" w14:textId="77777777" w:rsidR="00B821ED" w:rsidRPr="0046702C" w:rsidRDefault="00B821ED" w:rsidP="004024A6">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The ACAS Code of Practice (section 199 of the Trade Union and Labour Relations (Consolidation) Act 1992</w:t>
      </w:r>
    </w:p>
    <w:p w14:paraId="0766C738" w14:textId="77777777" w:rsidR="00B821ED" w:rsidRPr="0046702C" w:rsidRDefault="00B821ED" w:rsidP="004024A6">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The Fixed Term Employees (Prevention of Less Favourable Treatment) Regulations 2002</w:t>
      </w:r>
    </w:p>
    <w:p w14:paraId="05F10613" w14:textId="225DF405" w:rsidR="00AA762A" w:rsidRPr="0046702C" w:rsidRDefault="00D37317" w:rsidP="00AA762A">
      <w:pPr>
        <w:pStyle w:val="EPMSubheading"/>
        <w:spacing w:after="0"/>
        <w:ind w:left="709"/>
        <w:rPr>
          <w:rFonts w:ascii="Century Gothic" w:hAnsi="Century Gothic"/>
          <w:color w:val="538135" w:themeColor="accent6" w:themeShade="BF"/>
        </w:rPr>
      </w:pPr>
      <w:bookmarkStart w:id="18" w:name="_Toc118383100"/>
      <w:r w:rsidRPr="0046702C">
        <w:rPr>
          <w:rFonts w:ascii="Century Gothic" w:hAnsi="Century Gothic"/>
          <w:color w:val="538135" w:themeColor="accent6" w:themeShade="BF"/>
        </w:rPr>
        <w:t>An Appropriate Committee Structure</w:t>
      </w:r>
      <w:bookmarkEnd w:id="18"/>
    </w:p>
    <w:p w14:paraId="5F161E28" w14:textId="1978D498" w:rsidR="000F5339" w:rsidRPr="0046702C" w:rsidRDefault="000F5339"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w:t>
      </w:r>
      <w:r w:rsidR="00AA762A" w:rsidRPr="0046702C">
        <w:rPr>
          <w:rFonts w:ascii="Century Gothic" w:hAnsi="Century Gothic"/>
          <w:color w:val="538135" w:themeColor="accent6" w:themeShade="BF"/>
        </w:rPr>
        <w:t xml:space="preserve"> (LGB) delegated by the Trust, </w:t>
      </w:r>
      <w:r w:rsidRPr="0046702C">
        <w:rPr>
          <w:rFonts w:ascii="Century Gothic" w:hAnsi="Century Gothic"/>
          <w:color w:val="538135" w:themeColor="accent6" w:themeShade="BF"/>
        </w:rPr>
        <w:t xml:space="preserve"> will appoint a committee of governors (hereafter referred to as the "Review Committee") who will be responsible for making </w:t>
      </w:r>
      <w:r w:rsidR="009B3226" w:rsidRPr="0046702C">
        <w:rPr>
          <w:rFonts w:ascii="Century Gothic" w:hAnsi="Century Gothic"/>
          <w:color w:val="538135" w:themeColor="accent6" w:themeShade="BF"/>
        </w:rPr>
        <w:t>recommendations</w:t>
      </w:r>
      <w:r w:rsidRPr="0046702C">
        <w:rPr>
          <w:rFonts w:ascii="Century Gothic" w:hAnsi="Century Gothic"/>
          <w:color w:val="538135" w:themeColor="accent6" w:themeShade="BF"/>
        </w:rPr>
        <w:t xml:space="preserve"> arising out of this policy and/or the Appraisal Polic</w:t>
      </w:r>
      <w:r w:rsidR="00AA762A" w:rsidRPr="0046702C">
        <w:rPr>
          <w:rFonts w:ascii="Century Gothic" w:hAnsi="Century Gothic"/>
          <w:color w:val="538135" w:themeColor="accent6" w:themeShade="BF"/>
        </w:rPr>
        <w:t>y. It will make</w:t>
      </w:r>
      <w:r w:rsidR="009B3226" w:rsidRPr="0046702C">
        <w:rPr>
          <w:rFonts w:ascii="Century Gothic" w:hAnsi="Century Gothic"/>
          <w:color w:val="538135" w:themeColor="accent6" w:themeShade="BF"/>
        </w:rPr>
        <w:t xml:space="preserve"> recommend</w:t>
      </w:r>
      <w:r w:rsidR="00AA762A" w:rsidRPr="0046702C">
        <w:rPr>
          <w:rFonts w:ascii="Century Gothic" w:hAnsi="Century Gothic"/>
          <w:color w:val="538135" w:themeColor="accent6" w:themeShade="BF"/>
        </w:rPr>
        <w:t>ations</w:t>
      </w:r>
      <w:r w:rsidR="009B3226" w:rsidRPr="0046702C">
        <w:rPr>
          <w:rFonts w:ascii="Century Gothic" w:hAnsi="Century Gothic"/>
          <w:color w:val="538135" w:themeColor="accent6" w:themeShade="BF"/>
        </w:rPr>
        <w:t xml:space="preserve"> to the </w:t>
      </w:r>
      <w:r w:rsidR="00AA762A" w:rsidRPr="0046702C">
        <w:rPr>
          <w:rFonts w:ascii="Century Gothic" w:hAnsi="Century Gothic"/>
          <w:color w:val="538135" w:themeColor="accent6" w:themeShade="BF"/>
        </w:rPr>
        <w:t>Trust Board Finance, Audit and Risk (FAR)</w:t>
      </w:r>
      <w:r w:rsidR="009B3226" w:rsidRPr="0046702C">
        <w:rPr>
          <w:rFonts w:ascii="Century Gothic" w:hAnsi="Century Gothic"/>
          <w:color w:val="538135" w:themeColor="accent6" w:themeShade="BF"/>
        </w:rPr>
        <w:t xml:space="preserve"> Committee</w:t>
      </w:r>
      <w:r w:rsidR="00AA762A" w:rsidRPr="0046702C">
        <w:rPr>
          <w:rFonts w:ascii="Century Gothic" w:hAnsi="Century Gothic"/>
          <w:color w:val="538135" w:themeColor="accent6" w:themeShade="BF"/>
        </w:rPr>
        <w:t>, who will ratify the decisions or challenge where necessary</w:t>
      </w:r>
      <w:r w:rsidR="009B3226" w:rsidRPr="0046702C">
        <w:rPr>
          <w:rFonts w:ascii="Century Gothic" w:hAnsi="Century Gothic"/>
          <w:color w:val="538135" w:themeColor="accent6" w:themeShade="BF"/>
        </w:rPr>
        <w:t>.</w:t>
      </w:r>
      <w:r w:rsidRPr="0046702C">
        <w:rPr>
          <w:rFonts w:ascii="Century Gothic" w:hAnsi="Century Gothic"/>
          <w:color w:val="538135" w:themeColor="accent6" w:themeShade="BF"/>
        </w:rPr>
        <w:t xml:space="preserve"> The number of governors on the committee shall normally be </w:t>
      </w:r>
      <w:r w:rsidR="009B3226" w:rsidRPr="0046702C">
        <w:rPr>
          <w:rFonts w:ascii="Century Gothic" w:hAnsi="Century Gothic"/>
          <w:color w:val="538135" w:themeColor="accent6" w:themeShade="BF"/>
        </w:rPr>
        <w:t>3</w:t>
      </w:r>
      <w:r w:rsidRPr="0046702C">
        <w:rPr>
          <w:rFonts w:ascii="Century Gothic" w:hAnsi="Century Gothic"/>
          <w:color w:val="538135" w:themeColor="accent6" w:themeShade="BF"/>
        </w:rPr>
        <w:t xml:space="preserve">, </w:t>
      </w:r>
      <w:r w:rsidR="009B3226" w:rsidRPr="0046702C">
        <w:rPr>
          <w:rFonts w:ascii="Century Gothic" w:hAnsi="Century Gothic"/>
          <w:color w:val="538135" w:themeColor="accent6" w:themeShade="BF"/>
        </w:rPr>
        <w:t xml:space="preserve">all </w:t>
      </w:r>
      <w:r w:rsidRPr="0046702C">
        <w:rPr>
          <w:rFonts w:ascii="Century Gothic" w:hAnsi="Century Gothic"/>
          <w:color w:val="538135" w:themeColor="accent6" w:themeShade="BF"/>
        </w:rPr>
        <w:t xml:space="preserve">of which </w:t>
      </w:r>
      <w:r w:rsidR="009B3226" w:rsidRPr="0046702C">
        <w:rPr>
          <w:rFonts w:ascii="Century Gothic" w:hAnsi="Century Gothic"/>
          <w:color w:val="538135" w:themeColor="accent6" w:themeShade="BF"/>
        </w:rPr>
        <w:t xml:space="preserve">will be </w:t>
      </w:r>
      <w:r w:rsidRPr="0046702C">
        <w:rPr>
          <w:rFonts w:ascii="Century Gothic" w:hAnsi="Century Gothic"/>
          <w:color w:val="538135" w:themeColor="accent6" w:themeShade="BF"/>
        </w:rPr>
        <w:t>governors</w:t>
      </w:r>
      <w:r w:rsidR="00AA762A" w:rsidRPr="0046702C">
        <w:rPr>
          <w:rFonts w:ascii="Century Gothic" w:hAnsi="Century Gothic"/>
          <w:color w:val="538135" w:themeColor="accent6" w:themeShade="BF"/>
        </w:rPr>
        <w:t>, they</w:t>
      </w:r>
      <w:r w:rsidRPr="0046702C">
        <w:rPr>
          <w:rFonts w:ascii="Century Gothic" w:hAnsi="Century Gothic"/>
          <w:color w:val="538135" w:themeColor="accent6" w:themeShade="BF"/>
        </w:rPr>
        <w:t xml:space="preserve"> shall sit in rotation. Staff Governors cannot be a member of this committee.</w:t>
      </w:r>
    </w:p>
    <w:p w14:paraId="6E8FC629" w14:textId="368E4EDB" w:rsidR="000F5339" w:rsidRPr="0046702C" w:rsidRDefault="000F5339"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w:t>
      </w:r>
      <w:r w:rsidR="00AA762A" w:rsidRPr="0046702C">
        <w:rPr>
          <w:rFonts w:ascii="Century Gothic" w:hAnsi="Century Gothic"/>
          <w:color w:val="538135" w:themeColor="accent6" w:themeShade="BF"/>
        </w:rPr>
        <w:t xml:space="preserve"> (LGB)</w:t>
      </w:r>
      <w:r w:rsidRPr="0046702C">
        <w:rPr>
          <w:rFonts w:ascii="Century Gothic" w:hAnsi="Century Gothic"/>
          <w:color w:val="538135" w:themeColor="accent6" w:themeShade="BF"/>
        </w:rPr>
        <w:t xml:space="preserve"> will also appoint a committee of governors (hereafter referred to as the “Review Appeal Committee”) to hear any appeals. The number of governors on the committee shall normally be </w:t>
      </w:r>
      <w:r w:rsidR="009B3226" w:rsidRPr="0046702C">
        <w:rPr>
          <w:rFonts w:ascii="Century Gothic" w:hAnsi="Century Gothic"/>
          <w:color w:val="538135" w:themeColor="accent6" w:themeShade="BF"/>
        </w:rPr>
        <w:t xml:space="preserve">three. </w:t>
      </w:r>
      <w:r w:rsidRPr="0046702C">
        <w:rPr>
          <w:rFonts w:ascii="Century Gothic" w:hAnsi="Century Gothic"/>
          <w:color w:val="538135" w:themeColor="accent6" w:themeShade="BF"/>
        </w:rPr>
        <w:t>These Governors must be different Governors to those that sit on the Review Committee and cannot be employed by the Pay Body.</w:t>
      </w:r>
    </w:p>
    <w:p w14:paraId="1CB206BC" w14:textId="6CFC55B5" w:rsidR="000F5339" w:rsidRPr="0046702C" w:rsidRDefault="000F5339"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Clerk to the </w:t>
      </w:r>
      <w:r w:rsidR="009B3226" w:rsidRPr="0046702C">
        <w:rPr>
          <w:rFonts w:ascii="Century Gothic" w:hAnsi="Century Gothic"/>
          <w:color w:val="538135" w:themeColor="accent6" w:themeShade="BF"/>
        </w:rPr>
        <w:t xml:space="preserve">LGB,  representing the </w:t>
      </w:r>
      <w:r w:rsidRPr="0046702C">
        <w:rPr>
          <w:rFonts w:ascii="Century Gothic" w:hAnsi="Century Gothic"/>
          <w:color w:val="538135" w:themeColor="accent6" w:themeShade="BF"/>
        </w:rPr>
        <w:t>Pay Body</w:t>
      </w:r>
      <w:r w:rsidR="00AA762A" w:rsidRPr="0046702C">
        <w:rPr>
          <w:rFonts w:ascii="Century Gothic" w:hAnsi="Century Gothic"/>
          <w:color w:val="538135" w:themeColor="accent6" w:themeShade="BF"/>
        </w:rPr>
        <w:t>,</w:t>
      </w:r>
      <w:r w:rsidRPr="0046702C">
        <w:rPr>
          <w:rFonts w:ascii="Century Gothic" w:hAnsi="Century Gothic"/>
          <w:color w:val="538135" w:themeColor="accent6" w:themeShade="BF"/>
        </w:rPr>
        <w:t xml:space="preserve"> will be responsible for arranging meetings of the above Committees</w:t>
      </w:r>
      <w:r w:rsidR="00AA762A" w:rsidRPr="0046702C">
        <w:rPr>
          <w:rFonts w:ascii="Century Gothic" w:hAnsi="Century Gothic"/>
          <w:color w:val="538135" w:themeColor="accent6" w:themeShade="BF"/>
        </w:rPr>
        <w:t xml:space="preserve"> prior to LGB meetings</w:t>
      </w:r>
      <w:r w:rsidRPr="0046702C">
        <w:rPr>
          <w:rFonts w:ascii="Century Gothic" w:hAnsi="Century Gothic"/>
          <w:color w:val="538135" w:themeColor="accent6" w:themeShade="BF"/>
        </w:rPr>
        <w:t xml:space="preserve">. Such meetings will normally be arranged within 20 working days of the date the employee requests the meeting, and five working days’ notice of the date and time of the meeting will be given. </w:t>
      </w:r>
    </w:p>
    <w:p w14:paraId="74B92D3D" w14:textId="77777777" w:rsidR="000F5339" w:rsidRPr="0046702C" w:rsidRDefault="000F5339" w:rsidP="00EF75EA">
      <w:pPr>
        <w:pStyle w:val="EPMTextindent2"/>
        <w:rPr>
          <w:rFonts w:ascii="Century Gothic" w:hAnsi="Century Gothic"/>
          <w:color w:val="538135" w:themeColor="accent6" w:themeShade="BF"/>
        </w:rPr>
      </w:pPr>
      <w:r w:rsidRPr="0046702C">
        <w:rPr>
          <w:rFonts w:ascii="Century Gothic" w:hAnsi="Century Gothic"/>
          <w:color w:val="538135" w:themeColor="accent6" w:themeShade="BF"/>
        </w:rPr>
        <w:t>Those entitled to attend meetings of these Committees are outlined in Annex A and B.</w:t>
      </w:r>
    </w:p>
    <w:p w14:paraId="7F098048" w14:textId="24E8427C" w:rsidR="000F5339" w:rsidRPr="0046702C" w:rsidRDefault="000F5339" w:rsidP="00915068">
      <w:pPr>
        <w:rPr>
          <w:rFonts w:ascii="Century Gothic" w:hAnsi="Century Gothic" w:cs="Arial"/>
          <w:b/>
          <w:bCs/>
          <w:color w:val="538135" w:themeColor="accent6" w:themeShade="BF"/>
          <w:sz w:val="22"/>
          <w:szCs w:val="22"/>
        </w:rPr>
      </w:pPr>
      <w:bookmarkStart w:id="19" w:name="_Toc118383101"/>
      <w:r w:rsidRPr="0046702C">
        <w:rPr>
          <w:rFonts w:ascii="Century Gothic" w:hAnsi="Century Gothic"/>
          <w:b/>
          <w:bCs/>
          <w:color w:val="538135" w:themeColor="accent6" w:themeShade="BF"/>
        </w:rPr>
        <w:t>Review of Recommendations to, or Decisions of, the Review Committee</w:t>
      </w:r>
      <w:bookmarkEnd w:id="19"/>
    </w:p>
    <w:p w14:paraId="2A8B4591" w14:textId="65E40463" w:rsidR="000F5339" w:rsidRPr="0046702C" w:rsidRDefault="000F5339"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Prior to submitting a salary recommendation to the Review Committee, the Headteacher (or Chair of the Appraisal Review Committee in the case of the Headteacher, see 2.21) will inform the employee of their recommendation along with confirmation as to when the Review Committee is meeting</w:t>
      </w:r>
      <w:r w:rsidR="00AA762A" w:rsidRPr="0046702C">
        <w:rPr>
          <w:rFonts w:ascii="Century Gothic" w:hAnsi="Century Gothic"/>
          <w:color w:val="538135" w:themeColor="accent6" w:themeShade="BF"/>
        </w:rPr>
        <w:t xml:space="preserve"> as </w:t>
      </w:r>
      <w:proofErr w:type="spellStart"/>
      <w:r w:rsidR="00AA762A" w:rsidRPr="0046702C">
        <w:rPr>
          <w:rFonts w:ascii="Century Gothic" w:hAnsi="Century Gothic"/>
          <w:color w:val="538135" w:themeColor="accent6" w:themeShade="BF"/>
        </w:rPr>
        <w:t>apart</w:t>
      </w:r>
      <w:proofErr w:type="spellEnd"/>
      <w:r w:rsidR="00AA762A" w:rsidRPr="0046702C">
        <w:rPr>
          <w:rFonts w:ascii="Century Gothic" w:hAnsi="Century Gothic"/>
          <w:color w:val="538135" w:themeColor="accent6" w:themeShade="BF"/>
        </w:rPr>
        <w:t xml:space="preserve"> of the appraisal process</w:t>
      </w:r>
      <w:r w:rsidRPr="0046702C">
        <w:rPr>
          <w:rFonts w:ascii="Century Gothic" w:hAnsi="Century Gothic"/>
          <w:color w:val="538135" w:themeColor="accent6" w:themeShade="BF"/>
        </w:rPr>
        <w:t>.</w:t>
      </w:r>
    </w:p>
    <w:p w14:paraId="3BF88572" w14:textId="77777777" w:rsidR="000F5339" w:rsidRPr="0046702C" w:rsidRDefault="000F5339"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If an employee is not satisfied with the pay recommendation, they will have the opportunity to discuss the recommendation informally with the appraiser or </w:t>
      </w:r>
      <w:r w:rsidRPr="0046702C">
        <w:rPr>
          <w:rFonts w:ascii="Century Gothic" w:hAnsi="Century Gothic"/>
          <w:color w:val="538135" w:themeColor="accent6" w:themeShade="BF"/>
        </w:rPr>
        <w:lastRenderedPageBreak/>
        <w:t>Headteacher (or Chair of the Appraisal Review Committee in the case of the Headteacher) before the recommendation is passed to the Review Committee.</w:t>
      </w:r>
    </w:p>
    <w:p w14:paraId="482441FA" w14:textId="76EA8D6C" w:rsidR="000F5339" w:rsidRPr="0046702C" w:rsidRDefault="000F5339"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If the employee does not agree with the recommendation, they are entitled to attend a meeting with the Review Committee. The employee must, however, provide a written statement in advance of this meeting.</w:t>
      </w:r>
    </w:p>
    <w:p w14:paraId="5549D1BF" w14:textId="77777777" w:rsidR="00DA5716" w:rsidRPr="0046702C" w:rsidRDefault="00DA5716" w:rsidP="000D52A2">
      <w:pPr>
        <w:pStyle w:val="EPMTextindent2"/>
        <w:ind w:left="1418" w:firstLine="0"/>
        <w:rPr>
          <w:rFonts w:ascii="Century Gothic" w:hAnsi="Century Gothic"/>
          <w:color w:val="538135" w:themeColor="accent6" w:themeShade="BF"/>
        </w:rPr>
      </w:pPr>
      <w:r w:rsidRPr="0046702C">
        <w:rPr>
          <w:rFonts w:ascii="Century Gothic" w:hAnsi="Century Gothic"/>
          <w:color w:val="538135" w:themeColor="accent6" w:themeShade="BF"/>
        </w:rPr>
        <w:t>This statement must indicate the reason/s why they disagree with the recommendation and must fall within one or more of the following:</w:t>
      </w:r>
    </w:p>
    <w:p w14:paraId="0C00687A" w14:textId="77777777" w:rsidR="00DA5716" w:rsidRPr="0046702C" w:rsidRDefault="00DA5716" w:rsidP="00EF75EA">
      <w:pPr>
        <w:pStyle w:val="EPMTextindent2"/>
        <w:rPr>
          <w:rFonts w:ascii="Century Gothic" w:hAnsi="Century Gothic"/>
          <w:color w:val="538135" w:themeColor="accent6" w:themeShade="BF"/>
        </w:rPr>
      </w:pPr>
      <w:r w:rsidRPr="0046702C">
        <w:rPr>
          <w:rFonts w:ascii="Century Gothic" w:hAnsi="Century Gothic"/>
          <w:color w:val="538135" w:themeColor="accent6" w:themeShade="BF"/>
        </w:rPr>
        <w:t>That the recommendation:</w:t>
      </w:r>
    </w:p>
    <w:p w14:paraId="390DFAFF" w14:textId="77777777" w:rsidR="005E604A" w:rsidRPr="0046702C" w:rsidRDefault="005E604A" w:rsidP="005E604A">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incorrectly applied any provision of the appropriate salary and/or appraisal policy</w:t>
      </w:r>
    </w:p>
    <w:p w14:paraId="6862DC2E" w14:textId="77777777" w:rsidR="005E604A" w:rsidRPr="0046702C" w:rsidRDefault="005E604A" w:rsidP="005E604A">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 xml:space="preserve">in the case of a teacher, who failed to have proper regard for the STPCD statutory/ contractual guidance </w:t>
      </w:r>
    </w:p>
    <w:p w14:paraId="33A5BEDB" w14:textId="77777777" w:rsidR="005E604A" w:rsidRPr="0046702C" w:rsidRDefault="005E604A" w:rsidP="005E604A">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failed to take proper account of relevant evidence</w:t>
      </w:r>
    </w:p>
    <w:p w14:paraId="7897B1D8" w14:textId="77777777" w:rsidR="005E604A" w:rsidRPr="0046702C" w:rsidRDefault="005E604A" w:rsidP="005E604A">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took account of irrelevant or inaccurate evidence</w:t>
      </w:r>
    </w:p>
    <w:p w14:paraId="6E8EA6F3" w14:textId="77777777" w:rsidR="005E604A" w:rsidRPr="0046702C" w:rsidRDefault="005E604A" w:rsidP="005E604A">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was biased; or</w:t>
      </w:r>
    </w:p>
    <w:p w14:paraId="71A79F4D" w14:textId="77777777" w:rsidR="005E604A" w:rsidRPr="0046702C" w:rsidRDefault="005E604A" w:rsidP="005E604A">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otherwise unlawfully discriminated against the employee</w:t>
      </w:r>
    </w:p>
    <w:p w14:paraId="18F43D13" w14:textId="046688DA" w:rsidR="00C62FC2" w:rsidRPr="0046702C" w:rsidRDefault="00C62FC2" w:rsidP="00C62FC2">
      <w:pPr>
        <w:pStyle w:val="EPMTextstyle"/>
        <w:ind w:left="1418"/>
        <w:rPr>
          <w:rFonts w:ascii="Century Gothic" w:hAnsi="Century Gothic"/>
          <w:color w:val="538135" w:themeColor="accent6" w:themeShade="BF"/>
        </w:rPr>
      </w:pPr>
      <w:r w:rsidRPr="0046702C">
        <w:rPr>
          <w:rFonts w:ascii="Century Gothic" w:hAnsi="Century Gothic"/>
          <w:color w:val="538135" w:themeColor="accent6" w:themeShade="BF"/>
        </w:rPr>
        <w:t>The employee will have at least five working days’ notice between the date they are informed of the recommendation and the date of the meeting of the Review Committee to provide this written statement. The statement should be submitted to the Clerk of the Pay Body who will provide a copy to the Review Committee and the Headteacher (or Chair of the Headteacher’s Appraisal Review Committee, in the case of the Headteacher) prior to the meeting.</w:t>
      </w:r>
    </w:p>
    <w:p w14:paraId="01810437" w14:textId="77777777" w:rsidR="00702636" w:rsidRPr="0046702C" w:rsidRDefault="00702636"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At the meeting, the employee will have the opportunity to make representations, including presenting evidence, calling witnesses and the opportunity to ask questions.</w:t>
      </w:r>
    </w:p>
    <w:p w14:paraId="4D8B5EDD" w14:textId="77777777" w:rsidR="00702636" w:rsidRPr="0046702C" w:rsidRDefault="00702636"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decision of the Review Committee will be provided to the employee in writing, along with details of how to appeal (see below).</w:t>
      </w:r>
    </w:p>
    <w:p w14:paraId="6B49B368" w14:textId="77777777" w:rsidR="00AA762A" w:rsidRPr="0046702C" w:rsidRDefault="00702636" w:rsidP="00AA762A">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procedure to be followed for the review hearing is attached in Annex A.</w:t>
      </w:r>
      <w:bookmarkStart w:id="20" w:name="_Toc118383102"/>
    </w:p>
    <w:p w14:paraId="6900CEDF" w14:textId="2ED98ED8" w:rsidR="000249E9" w:rsidRPr="0046702C" w:rsidRDefault="000249E9" w:rsidP="00AA762A">
      <w:pPr>
        <w:pStyle w:val="Numberedsubheading"/>
        <w:numPr>
          <w:ilvl w:val="0"/>
          <w:numId w:val="0"/>
        </w:numPr>
        <w:ind w:left="709"/>
        <w:rPr>
          <w:rFonts w:ascii="Century Gothic" w:hAnsi="Century Gothic"/>
          <w:b/>
          <w:bCs/>
          <w:color w:val="538135" w:themeColor="accent6" w:themeShade="BF"/>
          <w:sz w:val="24"/>
          <w:szCs w:val="24"/>
        </w:rPr>
      </w:pPr>
      <w:r w:rsidRPr="0046702C">
        <w:rPr>
          <w:rFonts w:ascii="Century Gothic" w:hAnsi="Century Gothic"/>
          <w:b/>
          <w:bCs/>
          <w:color w:val="538135" w:themeColor="accent6" w:themeShade="BF"/>
          <w:sz w:val="24"/>
          <w:szCs w:val="24"/>
        </w:rPr>
        <w:t>Appeals against Salary or Appraisal Decisions</w:t>
      </w:r>
      <w:bookmarkEnd w:id="20"/>
    </w:p>
    <w:p w14:paraId="5F0D2710" w14:textId="640F8C1F" w:rsidR="000249E9" w:rsidRPr="0046702C" w:rsidRDefault="000249E9"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employee may appeal against the decision of the Review Committee. Any appeal must be made in writing to the Clerk to the Pay Body, within five working days of receipt of the Review Committee’s decision. The appeal should outline the grounds for appeal, in line with 2.09 above. </w:t>
      </w:r>
    </w:p>
    <w:p w14:paraId="16A079CA" w14:textId="77777777" w:rsidR="000249E9" w:rsidRPr="0046702C" w:rsidRDefault="000249E9"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decision of the Review Appeal Committee shall be final. Once an appeal has been resolved, the final decisions regarding the assessment of salaries shall be reported to the Pay Body. </w:t>
      </w:r>
    </w:p>
    <w:p w14:paraId="256D0038" w14:textId="77777777" w:rsidR="000249E9" w:rsidRPr="0046702C" w:rsidRDefault="000249E9"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procedure to be followed for the appeal is attached in Annex B of this policy.</w:t>
      </w:r>
    </w:p>
    <w:p w14:paraId="1DE0C6C4" w14:textId="77777777" w:rsidR="00F70190" w:rsidRPr="0046702C" w:rsidRDefault="00F70190" w:rsidP="0038072F">
      <w:pPr>
        <w:pStyle w:val="EPMSubheading"/>
        <w:ind w:left="709"/>
        <w:rPr>
          <w:rFonts w:ascii="Century Gothic" w:hAnsi="Century Gothic"/>
          <w:color w:val="538135" w:themeColor="accent6" w:themeShade="BF"/>
        </w:rPr>
      </w:pPr>
      <w:bookmarkStart w:id="21" w:name="_Toc118383103"/>
      <w:r w:rsidRPr="0046702C">
        <w:rPr>
          <w:rFonts w:ascii="Century Gothic" w:hAnsi="Century Gothic"/>
          <w:color w:val="538135" w:themeColor="accent6" w:themeShade="BF"/>
        </w:rPr>
        <w:t>Threshold Application</w:t>
      </w:r>
      <w:bookmarkEnd w:id="21"/>
    </w:p>
    <w:p w14:paraId="53361EE0" w14:textId="3E1DDA6D" w:rsidR="00F70190" w:rsidRPr="0046702C" w:rsidRDefault="00F70190"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An application must be made by </w:t>
      </w:r>
      <w:r w:rsidR="00A76852" w:rsidRPr="0046702C">
        <w:rPr>
          <w:rStyle w:val="EPMBracketChar"/>
          <w:rFonts w:ascii="Century Gothic" w:hAnsi="Century Gothic"/>
          <w:color w:val="538135" w:themeColor="accent6" w:themeShade="BF"/>
        </w:rPr>
        <w:t>31</w:t>
      </w:r>
      <w:r w:rsidR="00A76852" w:rsidRPr="0046702C">
        <w:rPr>
          <w:rStyle w:val="EPMBracketChar"/>
          <w:rFonts w:ascii="Century Gothic" w:hAnsi="Century Gothic"/>
          <w:color w:val="538135" w:themeColor="accent6" w:themeShade="BF"/>
          <w:vertAlign w:val="superscript"/>
        </w:rPr>
        <w:t>st</w:t>
      </w:r>
      <w:r w:rsidR="00A76852" w:rsidRPr="0046702C">
        <w:rPr>
          <w:rStyle w:val="EPMBracketChar"/>
          <w:rFonts w:ascii="Century Gothic" w:hAnsi="Century Gothic"/>
          <w:color w:val="538135" w:themeColor="accent6" w:themeShade="BF"/>
        </w:rPr>
        <w:t xml:space="preserve"> October</w:t>
      </w:r>
      <w:r w:rsidRPr="0046702C">
        <w:rPr>
          <w:rFonts w:ascii="Century Gothic" w:hAnsi="Century Gothic"/>
          <w:color w:val="538135" w:themeColor="accent6" w:themeShade="BF"/>
        </w:rPr>
        <w:t xml:space="preserve"> and submitted to </w:t>
      </w:r>
      <w:r w:rsidR="00A76852" w:rsidRPr="0046702C">
        <w:rPr>
          <w:rStyle w:val="EPMBracketChar"/>
          <w:rFonts w:ascii="Century Gothic" w:hAnsi="Century Gothic"/>
          <w:color w:val="538135" w:themeColor="accent6" w:themeShade="BF"/>
        </w:rPr>
        <w:t>HT</w:t>
      </w:r>
      <w:r w:rsidRPr="0046702C">
        <w:rPr>
          <w:rFonts w:ascii="Century Gothic" w:hAnsi="Century Gothic"/>
          <w:color w:val="538135" w:themeColor="accent6" w:themeShade="BF"/>
        </w:rPr>
        <w:t>.</w:t>
      </w:r>
      <w:r w:rsidR="009B3226" w:rsidRPr="0046702C">
        <w:rPr>
          <w:rFonts w:ascii="Century Gothic" w:hAnsi="Century Gothic"/>
          <w:color w:val="538135" w:themeColor="accent6" w:themeShade="BF"/>
        </w:rPr>
        <w:t xml:space="preserve"> A committee of 2 governors supported by an external advisor (CEO or other) will review the evidence and the recommendation of the HT and make a decision accordingly.</w:t>
      </w:r>
    </w:p>
    <w:p w14:paraId="5E4B50C3" w14:textId="6ED5D79F" w:rsidR="00F70190" w:rsidRPr="0046702C" w:rsidRDefault="00F70190" w:rsidP="009B74F8">
      <w:pPr>
        <w:pStyle w:val="EPMTextindent2"/>
        <w:ind w:left="1418" w:firstLine="0"/>
        <w:rPr>
          <w:rStyle w:val="EPMBracketChar"/>
          <w:rFonts w:ascii="Century Gothic" w:hAnsi="Century Gothic"/>
          <w:color w:val="538135" w:themeColor="accent6" w:themeShade="BF"/>
        </w:rPr>
      </w:pPr>
      <w:r w:rsidRPr="0046702C">
        <w:rPr>
          <w:rFonts w:ascii="Century Gothic" w:hAnsi="Century Gothic"/>
          <w:color w:val="538135" w:themeColor="accent6" w:themeShade="BF"/>
        </w:rPr>
        <w:lastRenderedPageBreak/>
        <w:t>A successful applicant will progress to a point</w:t>
      </w:r>
      <w:r w:rsidR="00915068" w:rsidRPr="0046702C">
        <w:rPr>
          <w:rFonts w:ascii="Century Gothic" w:hAnsi="Century Gothic"/>
          <w:color w:val="538135" w:themeColor="accent6" w:themeShade="BF"/>
        </w:rPr>
        <w:t xml:space="preserve"> 1 </w:t>
      </w:r>
      <w:r w:rsidRPr="0046702C">
        <w:rPr>
          <w:rFonts w:ascii="Century Gothic" w:hAnsi="Century Gothic"/>
          <w:color w:val="538135" w:themeColor="accent6" w:themeShade="BF"/>
        </w:rPr>
        <w:t xml:space="preserve">on the upper pay range determined by the </w:t>
      </w:r>
      <w:r w:rsidR="00915068" w:rsidRPr="0046702C">
        <w:rPr>
          <w:rFonts w:ascii="Century Gothic" w:hAnsi="Century Gothic"/>
          <w:color w:val="538135" w:themeColor="accent6" w:themeShade="BF"/>
        </w:rPr>
        <w:t>Review Committee</w:t>
      </w:r>
      <w:r w:rsidRPr="0046702C">
        <w:rPr>
          <w:rFonts w:ascii="Century Gothic" w:hAnsi="Century Gothic"/>
          <w:color w:val="538135" w:themeColor="accent6" w:themeShade="BF"/>
        </w:rPr>
        <w:t xml:space="preserve"> from </w:t>
      </w:r>
      <w:r w:rsidR="00915068" w:rsidRPr="0046702C">
        <w:rPr>
          <w:rStyle w:val="EPMBracketChar"/>
          <w:rFonts w:ascii="Century Gothic" w:hAnsi="Century Gothic"/>
          <w:color w:val="538135" w:themeColor="accent6" w:themeShade="BF"/>
        </w:rPr>
        <w:t>the beginning of the academic year</w:t>
      </w:r>
      <w:r w:rsidRPr="0046702C">
        <w:rPr>
          <w:rFonts w:ascii="Century Gothic" w:hAnsi="Century Gothic"/>
          <w:color w:val="538135" w:themeColor="accent6" w:themeShade="BF"/>
        </w:rPr>
        <w:t>. Increases in pay will be effective from this date and will be backdated if required.</w:t>
      </w:r>
    </w:p>
    <w:p w14:paraId="0F4F70B7" w14:textId="77777777" w:rsidR="00F70190" w:rsidRPr="0046702C" w:rsidRDefault="00F70190" w:rsidP="00EF75EA">
      <w:pPr>
        <w:pStyle w:val="EPMTextindent2"/>
        <w:rPr>
          <w:rFonts w:ascii="Century Gothic" w:hAnsi="Century Gothic"/>
          <w:color w:val="538135" w:themeColor="accent6" w:themeShade="BF"/>
        </w:rPr>
      </w:pPr>
      <w:r w:rsidRPr="0046702C">
        <w:rPr>
          <w:rFonts w:ascii="Century Gothic" w:hAnsi="Century Gothic"/>
          <w:color w:val="538135" w:themeColor="accent6" w:themeShade="BF"/>
        </w:rPr>
        <w:t>The policy may determine that successful applicants will progress to the minimum of the upper pay range or delegate discretion to the Headteacher to determine to which point on the upper pay range the successful applicant may progress. See Annex C.</w:t>
      </w:r>
    </w:p>
    <w:p w14:paraId="2C19B163" w14:textId="77777777" w:rsidR="00F70190" w:rsidRPr="0046702C" w:rsidRDefault="00F70190" w:rsidP="00EF75EA">
      <w:pPr>
        <w:pStyle w:val="EPMTextindent2"/>
        <w:rPr>
          <w:rFonts w:ascii="Century Gothic" w:hAnsi="Century Gothic"/>
          <w:color w:val="538135" w:themeColor="accent6" w:themeShade="BF"/>
        </w:rPr>
      </w:pPr>
      <w:r w:rsidRPr="0046702C">
        <w:rPr>
          <w:rFonts w:ascii="Century Gothic" w:hAnsi="Century Gothic"/>
          <w:color w:val="538135" w:themeColor="accent6" w:themeShade="BF"/>
        </w:rPr>
        <w:t>A successful applicant will have demonstrated through the appraisal process:</w:t>
      </w:r>
    </w:p>
    <w:p w14:paraId="71B58100" w14:textId="77777777" w:rsidR="001D3EA5" w:rsidRPr="0046702C" w:rsidRDefault="001D3EA5" w:rsidP="001D3EA5">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that they are highly competent in all elements of the relevant standards; and</w:t>
      </w:r>
    </w:p>
    <w:p w14:paraId="5B22DEA9" w14:textId="77777777" w:rsidR="001D3EA5" w:rsidRPr="0046702C" w:rsidRDefault="001D3EA5" w:rsidP="001D3EA5">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that their achievements and contributions are substantial and sustained.</w:t>
      </w:r>
    </w:p>
    <w:p w14:paraId="63C4F327" w14:textId="77777777" w:rsidR="001D3EA5" w:rsidRPr="0046702C" w:rsidRDefault="001D3EA5" w:rsidP="001D3EA5">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See Annex C for the Pay Body’s definition of “highly competent” and “substantial and sustained”.</w:t>
      </w:r>
    </w:p>
    <w:p w14:paraId="3FD4FE2D" w14:textId="549DC29B" w:rsidR="006526A7" w:rsidRPr="0046702C" w:rsidRDefault="00A76852"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Review Committee will provide feedback on the success of the application and their recommendations</w:t>
      </w:r>
      <w:r w:rsidR="006526A7" w:rsidRPr="0046702C">
        <w:rPr>
          <w:rFonts w:ascii="Century Gothic" w:hAnsi="Century Gothic"/>
          <w:color w:val="538135" w:themeColor="accent6" w:themeShade="BF"/>
        </w:rPr>
        <w:t>. Feedback shall also include advice on aspects of performance that would benefit from further development. The process to be followed where the employee does not agree with the recommendation is as outlined in paragraphs 2.7 to 2.14.</w:t>
      </w:r>
    </w:p>
    <w:p w14:paraId="633874DD" w14:textId="77777777" w:rsidR="00D94F93" w:rsidRPr="0046702C" w:rsidRDefault="00D94F93"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Upper pay range decisions will only apply to posts under the employment of this Pay Body.</w:t>
      </w:r>
    </w:p>
    <w:p w14:paraId="07E83BE6" w14:textId="77777777" w:rsidR="00D94F93" w:rsidRPr="0046702C" w:rsidRDefault="00D94F93" w:rsidP="0038072F">
      <w:pPr>
        <w:pStyle w:val="EPMSubheading"/>
        <w:ind w:left="709"/>
        <w:rPr>
          <w:rFonts w:ascii="Century Gothic" w:hAnsi="Century Gothic"/>
          <w:color w:val="538135" w:themeColor="accent6" w:themeShade="BF"/>
        </w:rPr>
      </w:pPr>
      <w:bookmarkStart w:id="22" w:name="_Toc118383104"/>
      <w:r w:rsidRPr="0046702C">
        <w:rPr>
          <w:rFonts w:ascii="Century Gothic" w:hAnsi="Century Gothic"/>
          <w:color w:val="538135" w:themeColor="accent6" w:themeShade="BF"/>
        </w:rPr>
        <w:t>Statement of Salary</w:t>
      </w:r>
      <w:bookmarkEnd w:id="22"/>
    </w:p>
    <w:p w14:paraId="734E9276" w14:textId="77777777" w:rsidR="00D94F93" w:rsidRPr="0046702C" w:rsidRDefault="00D94F93" w:rsidP="00D94F9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Salary assessment forms will be issued to confirm salary decisions reached.</w:t>
      </w:r>
    </w:p>
    <w:p w14:paraId="09ABD301" w14:textId="503FAE79" w:rsidR="008B3D71" w:rsidRPr="0046702C" w:rsidRDefault="008B3D71" w:rsidP="008B3D71">
      <w:pPr>
        <w:pStyle w:val="EPMSubheading"/>
        <w:ind w:left="709"/>
        <w:rPr>
          <w:rFonts w:ascii="Century Gothic" w:hAnsi="Century Gothic"/>
          <w:color w:val="538135" w:themeColor="accent6" w:themeShade="BF"/>
        </w:rPr>
      </w:pPr>
      <w:bookmarkStart w:id="23" w:name="_Toc118383105"/>
      <w:r w:rsidRPr="0046702C">
        <w:rPr>
          <w:rFonts w:ascii="Century Gothic" w:hAnsi="Century Gothic"/>
          <w:color w:val="538135" w:themeColor="accent6" w:themeShade="BF"/>
        </w:rPr>
        <w:t>The Chair of the Pay Body</w:t>
      </w:r>
      <w:bookmarkEnd w:id="23"/>
      <w:r w:rsidR="00A76852" w:rsidRPr="0046702C">
        <w:rPr>
          <w:rFonts w:ascii="Century Gothic" w:hAnsi="Century Gothic"/>
          <w:color w:val="538135" w:themeColor="accent6" w:themeShade="BF"/>
        </w:rPr>
        <w:t xml:space="preserve"> (delegated to LGB Chair of LGB)</w:t>
      </w:r>
    </w:p>
    <w:p w14:paraId="1FCA9393" w14:textId="77777777" w:rsidR="008B3D71" w:rsidRPr="0046702C" w:rsidRDefault="008B3D71" w:rsidP="008B3D7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Chair of the Pay Body will be available to the Headteacher for consultation, should they be required. For this reason, the Chair of the Pay Body may not be a member of the Review Committee or Review Appeal Committee.</w:t>
      </w:r>
    </w:p>
    <w:p w14:paraId="64F01EA2" w14:textId="1D922B0E" w:rsidR="004150C0" w:rsidRPr="0046702C" w:rsidRDefault="004150C0" w:rsidP="004150C0">
      <w:pPr>
        <w:pStyle w:val="EPMSubheading"/>
        <w:ind w:left="709"/>
        <w:rPr>
          <w:rFonts w:ascii="Century Gothic" w:hAnsi="Century Gothic"/>
          <w:color w:val="538135" w:themeColor="accent6" w:themeShade="BF"/>
        </w:rPr>
      </w:pPr>
      <w:bookmarkStart w:id="24" w:name="_Toc118383106"/>
      <w:r w:rsidRPr="0046702C">
        <w:rPr>
          <w:rFonts w:ascii="Century Gothic" w:hAnsi="Century Gothic"/>
          <w:color w:val="538135" w:themeColor="accent6" w:themeShade="BF"/>
        </w:rPr>
        <w:t>The Appraisal Review Committee for the Headteacher’s Performance Review</w:t>
      </w:r>
      <w:bookmarkEnd w:id="24"/>
    </w:p>
    <w:p w14:paraId="6AD42B7A" w14:textId="3FBC0920" w:rsidR="004150C0" w:rsidRPr="0046702C" w:rsidRDefault="004150C0" w:rsidP="004150C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will delegate</w:t>
      </w:r>
      <w:r w:rsidR="00A76852" w:rsidRPr="0046702C">
        <w:rPr>
          <w:rStyle w:val="EPMBracketChar"/>
          <w:rFonts w:ascii="Century Gothic" w:hAnsi="Century Gothic"/>
          <w:color w:val="538135" w:themeColor="accent6" w:themeShade="BF"/>
        </w:rPr>
        <w:t xml:space="preserve"> </w:t>
      </w:r>
      <w:r w:rsidR="00A76852" w:rsidRPr="0046702C">
        <w:rPr>
          <w:rStyle w:val="EPMBracketChar"/>
          <w:rFonts w:ascii="Century Gothic" w:hAnsi="Century Gothic"/>
          <w:b/>
          <w:bCs/>
          <w:color w:val="538135" w:themeColor="accent6" w:themeShade="BF"/>
        </w:rPr>
        <w:t>2</w:t>
      </w:r>
      <w:r w:rsidRPr="0046702C">
        <w:rPr>
          <w:rFonts w:ascii="Century Gothic" w:hAnsi="Century Gothic"/>
          <w:color w:val="538135" w:themeColor="accent6" w:themeShade="BF"/>
        </w:rPr>
        <w:t xml:space="preserve"> governors, none of whom shall be employees of the Pay Body, to carry out the appraisal review for the Headteacher. The delegated governors may be supported by an external adviser</w:t>
      </w:r>
      <w:r w:rsidR="00A76852" w:rsidRPr="0046702C">
        <w:rPr>
          <w:rFonts w:ascii="Century Gothic" w:hAnsi="Century Gothic"/>
          <w:color w:val="538135" w:themeColor="accent6" w:themeShade="BF"/>
        </w:rPr>
        <w:t>/CEO</w:t>
      </w:r>
      <w:r w:rsidRPr="0046702C">
        <w:rPr>
          <w:rFonts w:ascii="Century Gothic" w:hAnsi="Century Gothic"/>
          <w:color w:val="538135" w:themeColor="accent6" w:themeShade="BF"/>
        </w:rPr>
        <w:t xml:space="preserve"> appointed by the Pay Body. The agreed performance objectives and indicators/measures </w:t>
      </w:r>
      <w:r w:rsidR="00A76852" w:rsidRPr="0046702C">
        <w:rPr>
          <w:rStyle w:val="EPMBracketChar"/>
          <w:rFonts w:ascii="Century Gothic" w:hAnsi="Century Gothic"/>
          <w:color w:val="538135" w:themeColor="accent6" w:themeShade="BF"/>
        </w:rPr>
        <w:t>to the Chair of the LGB</w:t>
      </w:r>
    </w:p>
    <w:p w14:paraId="06CEDB37" w14:textId="77777777" w:rsidR="00DD1C34" w:rsidRPr="0046702C" w:rsidRDefault="00DD1C34" w:rsidP="00DD1C34">
      <w:pPr>
        <w:pStyle w:val="EPMNumberedHeading"/>
        <w:rPr>
          <w:rFonts w:ascii="Century Gothic" w:hAnsi="Century Gothic"/>
          <w:color w:val="538135" w:themeColor="accent6" w:themeShade="BF"/>
        </w:rPr>
      </w:pPr>
      <w:bookmarkStart w:id="25" w:name="_Toc492546239"/>
      <w:bookmarkStart w:id="26" w:name="_Toc21097703"/>
      <w:bookmarkStart w:id="27" w:name="_Toc118383107"/>
      <w:bookmarkStart w:id="28" w:name="_Toc129872988"/>
      <w:r w:rsidRPr="0046702C">
        <w:rPr>
          <w:rFonts w:ascii="Century Gothic" w:hAnsi="Century Gothic"/>
          <w:color w:val="538135" w:themeColor="accent6" w:themeShade="BF"/>
        </w:rPr>
        <w:t>Exercise of Discretion Under the STPCD</w:t>
      </w:r>
      <w:bookmarkEnd w:id="25"/>
      <w:bookmarkEnd w:id="26"/>
      <w:bookmarkEnd w:id="27"/>
      <w:bookmarkEnd w:id="28"/>
    </w:p>
    <w:p w14:paraId="291797B3" w14:textId="77777777" w:rsidR="009B1620" w:rsidRPr="0046702C" w:rsidRDefault="009B1620" w:rsidP="009B1620">
      <w:pPr>
        <w:pStyle w:val="EPMSubheading"/>
        <w:ind w:left="709"/>
        <w:rPr>
          <w:rFonts w:ascii="Century Gothic" w:hAnsi="Century Gothic"/>
          <w:color w:val="538135" w:themeColor="accent6" w:themeShade="BF"/>
        </w:rPr>
      </w:pPr>
      <w:bookmarkStart w:id="29" w:name="_Toc118383108"/>
      <w:r w:rsidRPr="0046702C">
        <w:rPr>
          <w:rFonts w:ascii="Century Gothic" w:hAnsi="Century Gothic"/>
          <w:color w:val="538135" w:themeColor="accent6" w:themeShade="BF"/>
        </w:rPr>
        <w:t>Starting Salary of New Classroom Teacher Appointments</w:t>
      </w:r>
      <w:bookmarkEnd w:id="29"/>
    </w:p>
    <w:p w14:paraId="0923877F" w14:textId="77777777" w:rsidR="009B1620" w:rsidRPr="0046702C" w:rsidRDefault="009B1620" w:rsidP="009B162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When advertising a teaching post the Pay Body, or delegated committee, will identify the range of salaries the Pay Body is prepared to pay, subject to qualifications and experience. The Pay Body will not normally agree to match current/previous salaries without first considering the merits of the application and the salary of teachers currently employed by the Pay Body.</w:t>
      </w:r>
    </w:p>
    <w:p w14:paraId="3311C1F8" w14:textId="77777777" w:rsidR="009B1620" w:rsidRPr="0046702C" w:rsidRDefault="009B1620" w:rsidP="009B162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lastRenderedPageBreak/>
        <w:t xml:space="preserve">Where the Headteacher or selection panel regards a teacher to have the relevant teaching experience or non-teaching experience, which is </w:t>
      </w:r>
      <w:r w:rsidRPr="0046702C">
        <w:rPr>
          <w:rFonts w:ascii="Century Gothic" w:hAnsi="Century Gothic"/>
          <w:b/>
          <w:color w:val="538135" w:themeColor="accent6" w:themeShade="BF"/>
        </w:rPr>
        <w:t>directly relevant</w:t>
      </w:r>
      <w:r w:rsidRPr="0046702C">
        <w:rPr>
          <w:rFonts w:ascii="Century Gothic" w:hAnsi="Century Gothic"/>
          <w:color w:val="538135" w:themeColor="accent6" w:themeShade="BF"/>
        </w:rPr>
        <w:t xml:space="preserve"> to the post being offered, then an appropriate salary will be offered within the advertised range. </w:t>
      </w:r>
    </w:p>
    <w:p w14:paraId="4B4B0EBA" w14:textId="77777777" w:rsidR="009B1620" w:rsidRPr="0046702C" w:rsidRDefault="009B1620" w:rsidP="009B162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Headteacher will confirm salary decisions, and the rationale behind them, to the appropriate committee of the Pay Body. </w:t>
      </w:r>
    </w:p>
    <w:p w14:paraId="160EF316" w14:textId="77777777" w:rsidR="00B42F31" w:rsidRPr="0046702C" w:rsidRDefault="00B42F31" w:rsidP="00B42F31">
      <w:pPr>
        <w:pStyle w:val="EPMSubheading"/>
        <w:ind w:left="709"/>
        <w:rPr>
          <w:rFonts w:ascii="Century Gothic" w:hAnsi="Century Gothic"/>
          <w:color w:val="538135" w:themeColor="accent6" w:themeShade="BF"/>
        </w:rPr>
      </w:pPr>
      <w:bookmarkStart w:id="30" w:name="_Toc118383109"/>
      <w:r w:rsidRPr="0046702C">
        <w:rPr>
          <w:rFonts w:ascii="Century Gothic" w:hAnsi="Century Gothic"/>
          <w:color w:val="538135" w:themeColor="accent6" w:themeShade="BF"/>
        </w:rPr>
        <w:t>Calculation of Part-Time Teachers’ Salaries</w:t>
      </w:r>
      <w:bookmarkEnd w:id="30"/>
    </w:p>
    <w:p w14:paraId="56903E4D" w14:textId="77777777" w:rsidR="00B42F31" w:rsidRPr="0046702C" w:rsidRDefault="00B42F31" w:rsidP="00E0173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will ensure that all part-time teachers employed by the Pay Body will have their salaries calculated in accordance with the STPCD and the “pro-rata principle”, except where a part-time teacher is awarded a TLR3.</w:t>
      </w:r>
    </w:p>
    <w:p w14:paraId="76B2E95C" w14:textId="77777777" w:rsidR="00B42F31" w:rsidRPr="0046702C" w:rsidRDefault="00B42F31" w:rsidP="00E0173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will ensure that the total amount of time for which a part-time teacher may be directed is calculated in accordance with the STPCD and the “pro-rata principle”.</w:t>
      </w:r>
    </w:p>
    <w:p w14:paraId="48AF6303" w14:textId="77777777" w:rsidR="00B42F31" w:rsidRPr="0046702C" w:rsidRDefault="00B42F31" w:rsidP="00E0173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All part-time teachers will be advised of how their salary and directed time are calculated.</w:t>
      </w:r>
    </w:p>
    <w:p w14:paraId="4A665375" w14:textId="2C200FA0" w:rsidR="00872744" w:rsidRPr="0046702C" w:rsidRDefault="00872744" w:rsidP="00872744">
      <w:pPr>
        <w:pStyle w:val="EPMSubheading"/>
        <w:ind w:left="709"/>
        <w:rPr>
          <w:rFonts w:ascii="Century Gothic" w:hAnsi="Century Gothic"/>
          <w:color w:val="538135" w:themeColor="accent6" w:themeShade="BF"/>
        </w:rPr>
      </w:pPr>
      <w:bookmarkStart w:id="31" w:name="_Toc118383110"/>
      <w:r w:rsidRPr="0046702C">
        <w:rPr>
          <w:rFonts w:ascii="Century Gothic" w:hAnsi="Century Gothic"/>
          <w:color w:val="538135" w:themeColor="accent6" w:themeShade="BF"/>
        </w:rPr>
        <w:t>Recruitment/Retention Incentives</w:t>
      </w:r>
      <w:bookmarkEnd w:id="31"/>
    </w:p>
    <w:p w14:paraId="529C9601" w14:textId="77777777" w:rsidR="00872744" w:rsidRPr="0046702C" w:rsidRDefault="00872744" w:rsidP="00872744">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may have a policy regarding any payment of recruitment/retention incentives or benefits in accordance with paragraph 27 of the STPCD.</w:t>
      </w:r>
    </w:p>
    <w:p w14:paraId="5C853A09" w14:textId="77777777" w:rsidR="00AA762A" w:rsidRPr="0046702C" w:rsidRDefault="00872744" w:rsidP="00AA762A">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policy adopted by the Pay Body will be made known to employees and set out as Annex D to this policy</w:t>
      </w:r>
      <w:bookmarkStart w:id="32" w:name="_Toc118383111"/>
      <w:r w:rsidR="00AA762A" w:rsidRPr="0046702C">
        <w:rPr>
          <w:rFonts w:ascii="Century Gothic" w:hAnsi="Century Gothic"/>
          <w:color w:val="538135" w:themeColor="accent6" w:themeShade="BF"/>
        </w:rPr>
        <w:t>.</w:t>
      </w:r>
    </w:p>
    <w:p w14:paraId="6D6BB5FF" w14:textId="378AA268" w:rsidR="00421603" w:rsidRPr="0046702C" w:rsidRDefault="00421603" w:rsidP="00AA762A">
      <w:pPr>
        <w:pStyle w:val="Numberedsubheading"/>
        <w:numPr>
          <w:ilvl w:val="0"/>
          <w:numId w:val="0"/>
        </w:numPr>
        <w:ind w:left="1418"/>
        <w:rPr>
          <w:rFonts w:ascii="Century Gothic" w:hAnsi="Century Gothic"/>
          <w:b/>
          <w:bCs/>
          <w:color w:val="538135" w:themeColor="accent6" w:themeShade="BF"/>
          <w:sz w:val="24"/>
          <w:szCs w:val="24"/>
        </w:rPr>
      </w:pPr>
      <w:r w:rsidRPr="0046702C">
        <w:rPr>
          <w:rFonts w:ascii="Century Gothic" w:hAnsi="Century Gothic"/>
          <w:b/>
          <w:bCs/>
          <w:color w:val="538135" w:themeColor="accent6" w:themeShade="BF"/>
          <w:sz w:val="24"/>
          <w:szCs w:val="24"/>
        </w:rPr>
        <w:t>Staffing Structure</w:t>
      </w:r>
      <w:bookmarkEnd w:id="32"/>
    </w:p>
    <w:p w14:paraId="5831D6CB" w14:textId="10208DCB" w:rsidR="00421603" w:rsidRPr="0046702C" w:rsidRDefault="00421603" w:rsidP="0042160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Headteacher will recommend, to the Pay Body</w:t>
      </w:r>
      <w:r w:rsidR="00A76852" w:rsidRPr="0046702C">
        <w:rPr>
          <w:rFonts w:ascii="Century Gothic" w:hAnsi="Century Gothic"/>
          <w:color w:val="538135" w:themeColor="accent6" w:themeShade="BF"/>
        </w:rPr>
        <w:t xml:space="preserve"> (LGB) and then to the FAR Committee (trustees)</w:t>
      </w:r>
      <w:r w:rsidRPr="0046702C">
        <w:rPr>
          <w:rFonts w:ascii="Century Gothic" w:hAnsi="Century Gothic"/>
          <w:color w:val="538135" w:themeColor="accent6" w:themeShade="BF"/>
        </w:rPr>
        <w:t>, a staffing structure for the School that:</w:t>
      </w:r>
    </w:p>
    <w:p w14:paraId="32894234" w14:textId="77777777" w:rsidR="00530EE7" w:rsidRPr="0046702C" w:rsidRDefault="00530EE7" w:rsidP="00317233">
      <w:pPr>
        <w:pStyle w:val="EPMBullets"/>
        <w:tabs>
          <w:tab w:val="clear" w:pos="851"/>
          <w:tab w:val="left" w:pos="1985"/>
        </w:tabs>
        <w:ind w:left="1701" w:hanging="284"/>
        <w:rPr>
          <w:rFonts w:ascii="Century Gothic" w:hAnsi="Century Gothic"/>
          <w:color w:val="538135" w:themeColor="accent6" w:themeShade="BF"/>
        </w:rPr>
      </w:pPr>
      <w:r w:rsidRPr="0046702C">
        <w:rPr>
          <w:rFonts w:ascii="Century Gothic" w:hAnsi="Century Gothic"/>
          <w:color w:val="538135" w:themeColor="accent6" w:themeShade="BF"/>
        </w:rPr>
        <w:t>Takes account of any financial limits determined by the Pay Body or delegated committees</w:t>
      </w:r>
    </w:p>
    <w:p w14:paraId="56BD8D7F" w14:textId="77777777" w:rsidR="00530EE7" w:rsidRPr="0046702C" w:rsidRDefault="00530EE7" w:rsidP="00317233">
      <w:pPr>
        <w:pStyle w:val="EPMBullets"/>
        <w:tabs>
          <w:tab w:val="clear" w:pos="851"/>
          <w:tab w:val="left" w:pos="1985"/>
        </w:tabs>
        <w:ind w:left="1701" w:hanging="284"/>
        <w:rPr>
          <w:rFonts w:ascii="Century Gothic" w:hAnsi="Century Gothic"/>
          <w:color w:val="538135" w:themeColor="accent6" w:themeShade="BF"/>
        </w:rPr>
      </w:pPr>
      <w:r w:rsidRPr="0046702C">
        <w:rPr>
          <w:rFonts w:ascii="Century Gothic" w:hAnsi="Century Gothic"/>
          <w:color w:val="538135" w:themeColor="accent6" w:themeShade="BF"/>
        </w:rPr>
        <w:t>Identifies the posts to which allowances will be allocated for permanent TLRs, in accordance with the requirements of the STPCD</w:t>
      </w:r>
    </w:p>
    <w:p w14:paraId="40EA1B5A" w14:textId="77777777" w:rsidR="00530EE7" w:rsidRPr="0046702C" w:rsidRDefault="00530EE7" w:rsidP="00317233">
      <w:pPr>
        <w:pStyle w:val="EPMBullets"/>
        <w:tabs>
          <w:tab w:val="clear" w:pos="851"/>
          <w:tab w:val="left" w:pos="1985"/>
        </w:tabs>
        <w:ind w:left="1701" w:hanging="284"/>
        <w:rPr>
          <w:rFonts w:ascii="Century Gothic" w:hAnsi="Century Gothic"/>
          <w:color w:val="538135" w:themeColor="accent6" w:themeShade="BF"/>
        </w:rPr>
      </w:pPr>
      <w:r w:rsidRPr="0046702C">
        <w:rPr>
          <w:rFonts w:ascii="Century Gothic" w:hAnsi="Century Gothic"/>
          <w:color w:val="538135" w:themeColor="accent6" w:themeShade="BF"/>
        </w:rPr>
        <w:t>Will determine the value of any TLR post that is to be paid for a short-term period. A statement identifying a payment within the range for TLR3, the length of time for which it will be paid, and the reason for the short-term payment will be provided to the appropriate committee of the Pay Body</w:t>
      </w:r>
    </w:p>
    <w:p w14:paraId="702819D8" w14:textId="77777777" w:rsidR="00530EE7" w:rsidRPr="0046702C" w:rsidRDefault="00530EE7" w:rsidP="00317233">
      <w:pPr>
        <w:pStyle w:val="EPMBullets"/>
        <w:tabs>
          <w:tab w:val="clear" w:pos="851"/>
          <w:tab w:val="left" w:pos="1985"/>
        </w:tabs>
        <w:ind w:left="1701" w:hanging="284"/>
        <w:rPr>
          <w:rFonts w:ascii="Century Gothic" w:hAnsi="Century Gothic"/>
          <w:color w:val="538135" w:themeColor="accent6" w:themeShade="BF"/>
        </w:rPr>
      </w:pPr>
      <w:r w:rsidRPr="0046702C">
        <w:rPr>
          <w:rFonts w:ascii="Century Gothic" w:hAnsi="Century Gothic"/>
          <w:color w:val="538135" w:themeColor="accent6" w:themeShade="BF"/>
        </w:rPr>
        <w:t>Identifies the level of allowance to be allocated to each permanent TLR post between the minimum and maximum limits set out for each TLR in the STPCD, and the different levels that may be paid within each TLR in the staffing structure in accordance with the STPCD</w:t>
      </w:r>
    </w:p>
    <w:p w14:paraId="4D745E9E" w14:textId="77777777" w:rsidR="00530EE7" w:rsidRPr="0046702C" w:rsidRDefault="00530EE7" w:rsidP="00317233">
      <w:pPr>
        <w:pStyle w:val="EPMBullets"/>
        <w:tabs>
          <w:tab w:val="clear" w:pos="851"/>
          <w:tab w:val="left" w:pos="1985"/>
        </w:tabs>
        <w:ind w:left="1701" w:hanging="284"/>
        <w:rPr>
          <w:rFonts w:ascii="Century Gothic" w:hAnsi="Century Gothic"/>
          <w:color w:val="538135" w:themeColor="accent6" w:themeShade="BF"/>
        </w:rPr>
      </w:pPr>
      <w:r w:rsidRPr="0046702C">
        <w:rPr>
          <w:rFonts w:ascii="Century Gothic" w:hAnsi="Century Gothic"/>
          <w:color w:val="538135" w:themeColor="accent6" w:themeShade="BF"/>
        </w:rPr>
        <w:t>Identifies the level of salary to be allocated to any Leading Practitioner posts together with the salary ranges to be assigned to each post</w:t>
      </w:r>
    </w:p>
    <w:p w14:paraId="045EA3A7" w14:textId="77777777" w:rsidR="00530EE7" w:rsidRPr="0046702C" w:rsidRDefault="00530EE7" w:rsidP="00317233">
      <w:pPr>
        <w:pStyle w:val="EPMBullets"/>
        <w:tabs>
          <w:tab w:val="clear" w:pos="851"/>
          <w:tab w:val="left" w:pos="1985"/>
        </w:tabs>
        <w:ind w:left="1701" w:hanging="284"/>
        <w:rPr>
          <w:rFonts w:ascii="Century Gothic" w:hAnsi="Century Gothic"/>
          <w:color w:val="538135" w:themeColor="accent6" w:themeShade="BF"/>
        </w:rPr>
      </w:pPr>
      <w:r w:rsidRPr="0046702C">
        <w:rPr>
          <w:rFonts w:ascii="Century Gothic" w:hAnsi="Century Gothic"/>
          <w:color w:val="538135" w:themeColor="accent6" w:themeShade="BF"/>
        </w:rPr>
        <w:t>Identifies posts to be paid on the leadership group pay range together with the salary ranges assigned to each post</w:t>
      </w:r>
    </w:p>
    <w:p w14:paraId="3DB8DF63" w14:textId="77777777" w:rsidR="00530EE7" w:rsidRPr="0046702C" w:rsidRDefault="00530EE7" w:rsidP="00317233">
      <w:pPr>
        <w:pStyle w:val="EPMBullets"/>
        <w:tabs>
          <w:tab w:val="clear" w:pos="851"/>
          <w:tab w:val="left" w:pos="1985"/>
        </w:tabs>
        <w:ind w:left="1701" w:hanging="284"/>
        <w:rPr>
          <w:rFonts w:ascii="Century Gothic" w:hAnsi="Century Gothic"/>
          <w:color w:val="538135" w:themeColor="accent6" w:themeShade="BF"/>
        </w:rPr>
      </w:pPr>
      <w:r w:rsidRPr="0046702C">
        <w:rPr>
          <w:rFonts w:ascii="Century Gothic" w:hAnsi="Century Gothic"/>
          <w:color w:val="538135" w:themeColor="accent6" w:themeShade="BF"/>
        </w:rPr>
        <w:t>Identifies any post to which a salary from the Special Educational Needs (SEN) range of salaries will be allocated together with the level of each allowance to be paid</w:t>
      </w:r>
    </w:p>
    <w:p w14:paraId="785EA8C3" w14:textId="77777777" w:rsidR="00530EE7" w:rsidRPr="0046702C" w:rsidRDefault="00530EE7" w:rsidP="00317233">
      <w:pPr>
        <w:pStyle w:val="EPMBullets"/>
        <w:tabs>
          <w:tab w:val="clear" w:pos="851"/>
          <w:tab w:val="left" w:pos="1985"/>
        </w:tabs>
        <w:ind w:left="1701" w:hanging="284"/>
        <w:rPr>
          <w:rFonts w:ascii="Century Gothic" w:hAnsi="Century Gothic"/>
          <w:color w:val="538135" w:themeColor="accent6" w:themeShade="BF"/>
        </w:rPr>
      </w:pPr>
      <w:r w:rsidRPr="0046702C">
        <w:rPr>
          <w:rFonts w:ascii="Century Gothic" w:hAnsi="Century Gothic"/>
          <w:color w:val="538135" w:themeColor="accent6" w:themeShade="BF"/>
        </w:rPr>
        <w:lastRenderedPageBreak/>
        <w:t>Identifies the staffing structure for support staff posts together with the evaluated salary range assigned to each post</w:t>
      </w:r>
    </w:p>
    <w:p w14:paraId="6C0D535E" w14:textId="77777777" w:rsidR="004E0A71" w:rsidRPr="0046702C" w:rsidRDefault="004E0A71" w:rsidP="00EF75EA">
      <w:pPr>
        <w:pStyle w:val="EPMTextindent2"/>
        <w:rPr>
          <w:rFonts w:ascii="Century Gothic" w:hAnsi="Century Gothic"/>
          <w:color w:val="538135" w:themeColor="accent6" w:themeShade="BF"/>
        </w:rPr>
      </w:pPr>
      <w:r w:rsidRPr="0046702C">
        <w:rPr>
          <w:rFonts w:ascii="Century Gothic" w:hAnsi="Century Gothic"/>
          <w:color w:val="538135" w:themeColor="accent6" w:themeShade="BF"/>
        </w:rPr>
        <w:t>The staffing structure and pay ranges approved by the Pay Body shall be published with this pay policy.</w:t>
      </w:r>
    </w:p>
    <w:p w14:paraId="339ED24A" w14:textId="77777777" w:rsidR="003F2D40" w:rsidRPr="0046702C" w:rsidRDefault="003F2D40" w:rsidP="003F2D4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If the recommendation contains changes in the staffing structure that will directly impact on employees employed by the Pay Body, employees and recognised trade unions will be informed and consulted before the final salary structure is published.</w:t>
      </w:r>
    </w:p>
    <w:p w14:paraId="661D7201" w14:textId="77777777" w:rsidR="00C42E7E" w:rsidRPr="0046702C" w:rsidRDefault="00C42E7E" w:rsidP="00C42E7E">
      <w:pPr>
        <w:pStyle w:val="EPMSubheading"/>
        <w:ind w:left="709"/>
        <w:rPr>
          <w:rFonts w:ascii="Century Gothic" w:hAnsi="Century Gothic"/>
          <w:color w:val="538135" w:themeColor="accent6" w:themeShade="BF"/>
        </w:rPr>
      </w:pPr>
      <w:bookmarkStart w:id="33" w:name="_Toc118383112"/>
      <w:r w:rsidRPr="0046702C">
        <w:rPr>
          <w:rFonts w:ascii="Century Gothic" w:hAnsi="Century Gothic"/>
          <w:color w:val="538135" w:themeColor="accent6" w:themeShade="BF"/>
        </w:rPr>
        <w:t>Special Educational Needs</w:t>
      </w:r>
      <w:bookmarkEnd w:id="33"/>
    </w:p>
    <w:p w14:paraId="12AB7ED0" w14:textId="77777777" w:rsidR="00C42E7E" w:rsidRPr="0046702C" w:rsidRDefault="00C42E7E" w:rsidP="00C42E7E">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Pay Body will award an allowance to any teacher who satisfies the requirement of the STPCD, paragraph 21. </w:t>
      </w:r>
    </w:p>
    <w:p w14:paraId="582C9AFF" w14:textId="77777777" w:rsidR="00C42E7E" w:rsidRPr="0046702C" w:rsidRDefault="00C42E7E" w:rsidP="00C42E7E">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post and allowance/s will be identified in the staffing structure and will be spot salaries selected from the SEN range. The value of allowances should be based on whether any mandatory qualifications are required, other qualifications and expertise relevant for the post and the relative demands of the post.</w:t>
      </w:r>
    </w:p>
    <w:p w14:paraId="6D4653E0" w14:textId="77777777" w:rsidR="00AB5856" w:rsidRPr="0046702C" w:rsidRDefault="00AB5856" w:rsidP="00AB5856">
      <w:pPr>
        <w:pStyle w:val="EPMTextindent2"/>
        <w:rPr>
          <w:color w:val="538135" w:themeColor="accent6" w:themeShade="BF"/>
        </w:rPr>
      </w:pPr>
    </w:p>
    <w:p w14:paraId="2B26CCC8" w14:textId="5469F2DB" w:rsidR="00E0258D" w:rsidRPr="0046702C" w:rsidRDefault="00E0258D" w:rsidP="00AB5856">
      <w:pPr>
        <w:ind w:left="709"/>
        <w:rPr>
          <w:rFonts w:ascii="Century Gothic" w:hAnsi="Century Gothic" w:cs="Arial"/>
          <w:b/>
          <w:bCs/>
          <w:color w:val="538135" w:themeColor="accent6" w:themeShade="BF"/>
        </w:rPr>
      </w:pPr>
      <w:r w:rsidRPr="0046702C">
        <w:rPr>
          <w:rFonts w:ascii="Century Gothic" w:hAnsi="Century Gothic"/>
          <w:b/>
          <w:bCs/>
          <w:color w:val="538135" w:themeColor="accent6" w:themeShade="BF"/>
        </w:rPr>
        <w:t xml:space="preserve">Awards for Performance Progression to Teachers Paid on the Main Pay Range and the Upper Pay Range </w:t>
      </w:r>
    </w:p>
    <w:p w14:paraId="6CD908A2" w14:textId="45858E6E" w:rsidR="00261340" w:rsidRPr="0046702C" w:rsidRDefault="00261340" w:rsidP="0026134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On or before </w:t>
      </w:r>
      <w:r w:rsidRPr="0046702C">
        <w:rPr>
          <w:rStyle w:val="EPMBracketChar"/>
          <w:rFonts w:ascii="Century Gothic" w:hAnsi="Century Gothic"/>
          <w:color w:val="538135" w:themeColor="accent6" w:themeShade="BF"/>
        </w:rPr>
        <w:t>1 September</w:t>
      </w:r>
      <w:r w:rsidRPr="0046702C">
        <w:rPr>
          <w:rFonts w:ascii="Century Gothic" w:hAnsi="Century Gothic"/>
          <w:color w:val="538135" w:themeColor="accent6" w:themeShade="BF"/>
        </w:rPr>
        <w:t xml:space="preserve"> of each year, or as soon as possible thereafter, the Headteacher will carry out an annual assessment of salary for each main and upper pay spine teacher.</w:t>
      </w:r>
    </w:p>
    <w:p w14:paraId="5D2D3054" w14:textId="797F6B8A" w:rsidR="00261340" w:rsidRPr="0046702C" w:rsidRDefault="00261340" w:rsidP="0026134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Review Committee will receive the pay recommendations from the Headteacher by </w:t>
      </w:r>
      <w:r w:rsidRPr="0046702C">
        <w:rPr>
          <w:rStyle w:val="EPMBracketChar"/>
          <w:rFonts w:ascii="Century Gothic" w:hAnsi="Century Gothic"/>
          <w:color w:val="538135" w:themeColor="accent6" w:themeShade="BF"/>
        </w:rPr>
        <w:t>31 October of the current year/or other date as determined by the Pay Body</w:t>
      </w:r>
      <w:r w:rsidR="00A76852" w:rsidRPr="0046702C">
        <w:rPr>
          <w:rStyle w:val="EPMBracketChar"/>
          <w:rFonts w:ascii="Century Gothic" w:hAnsi="Century Gothic"/>
          <w:color w:val="538135" w:themeColor="accent6" w:themeShade="BF"/>
        </w:rPr>
        <w:t xml:space="preserve"> (LGB)</w:t>
      </w:r>
      <w:r w:rsidRPr="0046702C">
        <w:rPr>
          <w:rFonts w:ascii="Century Gothic" w:hAnsi="Century Gothic"/>
          <w:color w:val="538135" w:themeColor="accent6" w:themeShade="BF"/>
        </w:rPr>
        <w:t xml:space="preserve"> at the latest and will then make any decisions relating to salary increase or otherwise. Any awards will be backdated to </w:t>
      </w:r>
      <w:r w:rsidRPr="0046702C">
        <w:rPr>
          <w:rStyle w:val="EPMBracketChar"/>
          <w:rFonts w:ascii="Century Gothic" w:hAnsi="Century Gothic"/>
          <w:color w:val="538135" w:themeColor="accent6" w:themeShade="BF"/>
        </w:rPr>
        <w:t>1 September</w:t>
      </w:r>
      <w:r w:rsidRPr="0046702C">
        <w:rPr>
          <w:rFonts w:ascii="Century Gothic" w:hAnsi="Century Gothic"/>
          <w:color w:val="538135" w:themeColor="accent6" w:themeShade="BF"/>
        </w:rPr>
        <w:t xml:space="preserve"> of the current year. </w:t>
      </w:r>
    </w:p>
    <w:p w14:paraId="29A3DB90" w14:textId="77777777" w:rsidR="00261340" w:rsidRPr="0046702C" w:rsidRDefault="00261340" w:rsidP="00EF75EA">
      <w:pPr>
        <w:pStyle w:val="EPMTextindent2"/>
        <w:rPr>
          <w:rFonts w:ascii="Century Gothic" w:hAnsi="Century Gothic"/>
          <w:color w:val="538135" w:themeColor="accent6" w:themeShade="BF"/>
        </w:rPr>
      </w:pPr>
      <w:r w:rsidRPr="0046702C">
        <w:rPr>
          <w:rFonts w:ascii="Century Gothic" w:hAnsi="Century Gothic"/>
          <w:color w:val="538135" w:themeColor="accent6" w:themeShade="BF"/>
        </w:rPr>
        <w:t>Please note comments under section 2.2.</w:t>
      </w:r>
    </w:p>
    <w:p w14:paraId="2B00EE6E" w14:textId="77777777" w:rsidR="009F5F58" w:rsidRPr="0046702C" w:rsidRDefault="009F5F58" w:rsidP="009F5F58">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Recommendations will be made on the basis of the teacher's performance during the previous year, measured against the performance review under the Pay Body’s Appraisal Policy, with particular reference to the achievement of objectives identified in Annex E and their individual performance management objectives set at their last review.</w:t>
      </w:r>
    </w:p>
    <w:p w14:paraId="5DC7B5C5" w14:textId="77777777" w:rsidR="009F5F58" w:rsidRPr="0046702C" w:rsidRDefault="009F5F58" w:rsidP="009F5F58">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Recommendations for pay increases will be differentiated so that any increase is clearly attributable to the performance of each teacher. </w:t>
      </w:r>
    </w:p>
    <w:p w14:paraId="14A02E03" w14:textId="284D755C" w:rsidR="004140DD" w:rsidRPr="0046702C" w:rsidRDefault="004140DD" w:rsidP="004140DD">
      <w:pPr>
        <w:pStyle w:val="Numberedsubheading"/>
        <w:rPr>
          <w:rStyle w:val="BracketsinsertwordingChar"/>
          <w:rFonts w:ascii="Century Gothic" w:hAnsi="Century Gothic"/>
          <w:color w:val="538135" w:themeColor="accent6" w:themeShade="BF"/>
        </w:rPr>
      </w:pPr>
      <w:r w:rsidRPr="0046702C">
        <w:rPr>
          <w:rFonts w:ascii="Century Gothic" w:hAnsi="Century Gothic"/>
          <w:color w:val="538135" w:themeColor="accent6" w:themeShade="BF"/>
        </w:rPr>
        <w:t xml:space="preserve">A teacher in the main pay range whose performance meets the criteria set out in Annex E could reasonably expect to reach the maximum of the range after five years. The Headteacher may recommend that there will be no progression on the range in a given year where the outcome of the appraisal does not warrant progression. </w:t>
      </w:r>
      <w:r w:rsidRPr="0046702C">
        <w:rPr>
          <w:rStyle w:val="EPMBracketChar"/>
          <w:rFonts w:ascii="Century Gothic" w:hAnsi="Century Gothic"/>
          <w:color w:val="538135" w:themeColor="accent6" w:themeShade="BF"/>
        </w:rPr>
        <w:t>An Early Career Teacher who achieves the required standards during their induction will normally progress to the second point on the main pay range from the following September, in accordance with paragraph 2.3.]</w:t>
      </w:r>
    </w:p>
    <w:p w14:paraId="6011E75B" w14:textId="77777777" w:rsidR="004140DD" w:rsidRPr="0046702C" w:rsidRDefault="004140DD" w:rsidP="004140DD">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Where a teacher has been absent through long-term illness or on maternity leave (or other long-term leave) the Headteacher will ensure that a performance review has been </w:t>
      </w:r>
      <w:r w:rsidRPr="0046702C">
        <w:rPr>
          <w:rFonts w:ascii="Century Gothic" w:hAnsi="Century Gothic"/>
          <w:color w:val="538135" w:themeColor="accent6" w:themeShade="BF"/>
        </w:rPr>
        <w:lastRenderedPageBreak/>
        <w:t>conducted. If a review cannot be conducted until the teacher returns to school, the Headteacher will conduct a review following the teacher’s return. If the recommendation is to pay the teacher on a higher salary in the appropriate pay range the award may be backdated to the date on which the award would normally have been paid.</w:t>
      </w:r>
    </w:p>
    <w:p w14:paraId="31C65A1B" w14:textId="77777777" w:rsidR="00D1059C" w:rsidRPr="0046702C" w:rsidRDefault="00D1059C" w:rsidP="00D1059C">
      <w:pPr>
        <w:pStyle w:val="EPMNumberedHeading"/>
        <w:rPr>
          <w:rFonts w:ascii="Century Gothic" w:hAnsi="Century Gothic"/>
          <w:color w:val="538135" w:themeColor="accent6" w:themeShade="BF"/>
        </w:rPr>
      </w:pPr>
      <w:bookmarkStart w:id="34" w:name="_Toc492546240"/>
      <w:bookmarkStart w:id="35" w:name="_Toc21097704"/>
      <w:bookmarkStart w:id="36" w:name="_Toc118383114"/>
      <w:bookmarkStart w:id="37" w:name="_Toc129872989"/>
      <w:r w:rsidRPr="0046702C">
        <w:rPr>
          <w:rFonts w:ascii="Century Gothic" w:hAnsi="Century Gothic"/>
          <w:color w:val="538135" w:themeColor="accent6" w:themeShade="BF"/>
        </w:rPr>
        <w:t>Leading Practitioner Posts</w:t>
      </w:r>
      <w:bookmarkEnd w:id="34"/>
      <w:bookmarkEnd w:id="35"/>
      <w:bookmarkEnd w:id="36"/>
      <w:bookmarkEnd w:id="37"/>
    </w:p>
    <w:p w14:paraId="217B9AF2" w14:textId="77777777" w:rsidR="00D1059C" w:rsidRPr="0046702C" w:rsidRDefault="00D1059C" w:rsidP="00D1059C">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Pay Body may decide to include leading practitioner post/s in the structure where it receives a recommendation from the Headteacher to consider such a post. </w:t>
      </w:r>
    </w:p>
    <w:p w14:paraId="1DF4074A" w14:textId="77777777" w:rsidR="00D1059C" w:rsidRPr="0046702C" w:rsidRDefault="00D1059C" w:rsidP="00D1059C">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Where a leading practitioner is appointed the Pay Body shall select an individual post range on the pay range designated for leading practitioners. </w:t>
      </w:r>
    </w:p>
    <w:p w14:paraId="227C716B" w14:textId="2050BDD6" w:rsidR="00FC477A" w:rsidRPr="0046702C" w:rsidRDefault="002B230A" w:rsidP="00AB5856">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On or before </w:t>
      </w:r>
      <w:r w:rsidRPr="0046702C">
        <w:rPr>
          <w:rStyle w:val="EPMBracketChar"/>
          <w:rFonts w:ascii="Century Gothic" w:hAnsi="Century Gothic"/>
          <w:color w:val="538135" w:themeColor="accent6" w:themeShade="BF"/>
        </w:rPr>
        <w:t>1 September</w:t>
      </w:r>
      <w:r w:rsidRPr="0046702C">
        <w:rPr>
          <w:rFonts w:ascii="Century Gothic" w:hAnsi="Century Gothic"/>
          <w:color w:val="538135" w:themeColor="accent6" w:themeShade="BF"/>
        </w:rPr>
        <w:t xml:space="preserve"> of each year, or as soon as possible thereafter, the Headteacher will carry out an annual assessment of salary for any Leading Practitioners.</w:t>
      </w:r>
    </w:p>
    <w:p w14:paraId="7CF4ED6A" w14:textId="3ADFE9E1" w:rsidR="002B230A" w:rsidRPr="0046702C" w:rsidRDefault="002B230A" w:rsidP="002B230A">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Review Committee will receive the pay recommendations from the Headteacher by </w:t>
      </w:r>
      <w:r w:rsidRPr="0046702C">
        <w:rPr>
          <w:rStyle w:val="EPMBracketChar"/>
          <w:rFonts w:ascii="Century Gothic" w:hAnsi="Century Gothic"/>
          <w:color w:val="538135" w:themeColor="accent6" w:themeShade="BF"/>
          <w:szCs w:val="21"/>
        </w:rPr>
        <w:t>31 October of the current year/or other date as determined by the Pay Body</w:t>
      </w:r>
      <w:r w:rsidRPr="0046702C">
        <w:rPr>
          <w:rFonts w:ascii="Century Gothic" w:hAnsi="Century Gothic"/>
          <w:color w:val="538135" w:themeColor="accent6" w:themeShade="BF"/>
        </w:rPr>
        <w:t xml:space="preserve"> at the latest and will then make any decisions relating to salary increase or otherwise. Any awards will be backdated to </w:t>
      </w:r>
      <w:r w:rsidRPr="0046702C">
        <w:rPr>
          <w:rStyle w:val="EPMBracketChar"/>
          <w:rFonts w:ascii="Century Gothic" w:hAnsi="Century Gothic"/>
          <w:color w:val="538135" w:themeColor="accent6" w:themeShade="BF"/>
          <w:szCs w:val="21"/>
        </w:rPr>
        <w:t>1 September</w:t>
      </w:r>
      <w:r w:rsidR="00A76852" w:rsidRPr="0046702C">
        <w:rPr>
          <w:rStyle w:val="EPMBracketChar"/>
          <w:rFonts w:ascii="Century Gothic" w:hAnsi="Century Gothic"/>
          <w:color w:val="538135" w:themeColor="accent6" w:themeShade="BF"/>
          <w:szCs w:val="21"/>
        </w:rPr>
        <w:t xml:space="preserve"> </w:t>
      </w:r>
      <w:r w:rsidRPr="0046702C">
        <w:rPr>
          <w:rFonts w:ascii="Century Gothic" w:hAnsi="Century Gothic"/>
          <w:color w:val="538135" w:themeColor="accent6" w:themeShade="BF"/>
        </w:rPr>
        <w:t xml:space="preserve">of the current year. </w:t>
      </w:r>
    </w:p>
    <w:p w14:paraId="5B44F617" w14:textId="77777777" w:rsidR="002B230A" w:rsidRPr="0046702C" w:rsidRDefault="002B230A" w:rsidP="002B230A">
      <w:pPr>
        <w:pStyle w:val="Section-Level2"/>
        <w:numPr>
          <w:ilvl w:val="0"/>
          <w:numId w:val="0"/>
        </w:numPr>
        <w:ind w:left="1418"/>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The criteria on which such a recommendation will be based are set out in Annex F.</w:t>
      </w:r>
    </w:p>
    <w:p w14:paraId="35192921" w14:textId="77777777" w:rsidR="00C4081C" w:rsidRPr="0046702C" w:rsidRDefault="00C4081C" w:rsidP="00C4081C">
      <w:pPr>
        <w:pStyle w:val="EPMNumberedHeading"/>
        <w:rPr>
          <w:rFonts w:ascii="Century Gothic" w:hAnsi="Century Gothic"/>
          <w:color w:val="538135" w:themeColor="accent6" w:themeShade="BF"/>
        </w:rPr>
      </w:pPr>
      <w:bookmarkStart w:id="38" w:name="_Toc492546241"/>
      <w:bookmarkStart w:id="39" w:name="_Toc21097705"/>
      <w:bookmarkStart w:id="40" w:name="_Toc118383115"/>
      <w:bookmarkStart w:id="41" w:name="_Toc129872990"/>
      <w:r w:rsidRPr="0046702C">
        <w:rPr>
          <w:rFonts w:ascii="Century Gothic" w:hAnsi="Century Gothic"/>
          <w:color w:val="538135" w:themeColor="accent6" w:themeShade="BF"/>
        </w:rPr>
        <w:t>The Leadership Group (See Annex G)</w:t>
      </w:r>
      <w:bookmarkEnd w:id="38"/>
      <w:bookmarkEnd w:id="39"/>
      <w:bookmarkEnd w:id="40"/>
      <w:bookmarkEnd w:id="41"/>
    </w:p>
    <w:p w14:paraId="214B9CF9" w14:textId="77777777" w:rsidR="00C4081C" w:rsidRPr="0046702C" w:rsidRDefault="00C4081C" w:rsidP="00C4081C">
      <w:pPr>
        <w:pStyle w:val="EPMSubheading"/>
        <w:ind w:left="709"/>
        <w:rPr>
          <w:rFonts w:ascii="Century Gothic" w:hAnsi="Century Gothic"/>
          <w:color w:val="538135" w:themeColor="accent6" w:themeShade="BF"/>
        </w:rPr>
      </w:pPr>
      <w:bookmarkStart w:id="42" w:name="_Toc118383116"/>
      <w:r w:rsidRPr="0046702C">
        <w:rPr>
          <w:rFonts w:ascii="Century Gothic" w:hAnsi="Century Gothic"/>
          <w:color w:val="538135" w:themeColor="accent6" w:themeShade="BF"/>
        </w:rPr>
        <w:t>Deputy and Assistant Headteachers</w:t>
      </w:r>
      <w:bookmarkEnd w:id="42"/>
    </w:p>
    <w:p w14:paraId="6CD1C8F5" w14:textId="437F807D" w:rsidR="00C4081C" w:rsidRPr="0046702C" w:rsidRDefault="00C4081C" w:rsidP="00AE3547">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following consideration of the relevant criteria set out in the STPCD, will determine the pay range for a newly appointed Deputy Headteacher or Assistant Headteacher’s salary. These should be determined with reference to the School's Headteacher Pay Range (see 6 below).</w:t>
      </w:r>
    </w:p>
    <w:p w14:paraId="47174A4D" w14:textId="77777777" w:rsidR="00C4081C" w:rsidRPr="0046702C" w:rsidRDefault="00C4081C" w:rsidP="00AE3547">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At the time of appointing a new Deputy Headteacher or Assistant Headteacher, the selection panel of the Pay Body shall determine the salary point on the pay range. The selection panel shall have regard to advice available from persons engaged by the Pay Body.</w:t>
      </w:r>
    </w:p>
    <w:p w14:paraId="7F0C034E" w14:textId="77777777" w:rsidR="005A3C22" w:rsidRPr="0046702C" w:rsidRDefault="005A3C22" w:rsidP="00B96FA0">
      <w:pPr>
        <w:pStyle w:val="EPMSubheading"/>
        <w:ind w:left="709"/>
        <w:rPr>
          <w:rFonts w:ascii="Century Gothic" w:hAnsi="Century Gothic"/>
          <w:color w:val="538135" w:themeColor="accent6" w:themeShade="BF"/>
        </w:rPr>
      </w:pPr>
      <w:bookmarkStart w:id="43" w:name="_Toc118383117"/>
      <w:r w:rsidRPr="0046702C">
        <w:rPr>
          <w:rFonts w:ascii="Century Gothic" w:hAnsi="Century Gothic"/>
          <w:color w:val="538135" w:themeColor="accent6" w:themeShade="BF"/>
        </w:rPr>
        <w:t>Awards for Performance to Deputy and Assistant Heads</w:t>
      </w:r>
      <w:bookmarkEnd w:id="43"/>
    </w:p>
    <w:p w14:paraId="0AE7D69A" w14:textId="1D67798D" w:rsidR="005A3C22" w:rsidRPr="0046702C" w:rsidRDefault="005A3C22" w:rsidP="005A3C22">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On or before </w:t>
      </w:r>
      <w:r w:rsidRPr="0046702C">
        <w:rPr>
          <w:rStyle w:val="EPMBracketChar"/>
          <w:rFonts w:ascii="Century Gothic" w:hAnsi="Century Gothic"/>
          <w:color w:val="538135" w:themeColor="accent6" w:themeShade="BF"/>
        </w:rPr>
        <w:t>1 September</w:t>
      </w:r>
      <w:r w:rsidRPr="0046702C">
        <w:rPr>
          <w:rFonts w:ascii="Century Gothic" w:hAnsi="Century Gothic"/>
          <w:color w:val="538135" w:themeColor="accent6" w:themeShade="BF"/>
        </w:rPr>
        <w:t xml:space="preserve"> of each year, or as soon as possible thereafter, the Headteacher will carry out an annual assessment of salary for any Deputy or Assistant Headteachers.</w:t>
      </w:r>
    </w:p>
    <w:p w14:paraId="7B2090CF" w14:textId="3ED87A0D" w:rsidR="005A3C22" w:rsidRPr="0046702C" w:rsidRDefault="005A3C22" w:rsidP="005A3C22">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Review Committee will receive the pay recommendations from the Headteacher by </w:t>
      </w:r>
      <w:r w:rsidRPr="0046702C">
        <w:rPr>
          <w:rStyle w:val="EPMBracketChar"/>
          <w:rFonts w:ascii="Century Gothic" w:hAnsi="Century Gothic"/>
          <w:color w:val="538135" w:themeColor="accent6" w:themeShade="BF"/>
        </w:rPr>
        <w:t>31 October of the current year/or other date as determined by the Pay Body</w:t>
      </w:r>
      <w:r w:rsidRPr="0046702C">
        <w:rPr>
          <w:rFonts w:ascii="Century Gothic" w:hAnsi="Century Gothic"/>
          <w:color w:val="538135" w:themeColor="accent6" w:themeShade="BF"/>
        </w:rPr>
        <w:t xml:space="preserve"> at the latest and will then make any decisions relating to salary increase or otherwise. Any awards will be backdated to </w:t>
      </w:r>
      <w:r w:rsidRPr="0046702C">
        <w:rPr>
          <w:rStyle w:val="EPMBracketChar"/>
          <w:rFonts w:ascii="Century Gothic" w:hAnsi="Century Gothic"/>
          <w:color w:val="538135" w:themeColor="accent6" w:themeShade="BF"/>
        </w:rPr>
        <w:t>[1 September]</w:t>
      </w:r>
      <w:r w:rsidRPr="0046702C">
        <w:rPr>
          <w:rFonts w:ascii="Century Gothic" w:hAnsi="Century Gothic"/>
          <w:color w:val="538135" w:themeColor="accent6" w:themeShade="BF"/>
        </w:rPr>
        <w:t xml:space="preserve"> of the current year. The Pay Body expects that the objectives for a Deputy or Assistant Headteacher will have become progressively challenging as the teacher has gained experience in the role.</w:t>
      </w:r>
    </w:p>
    <w:p w14:paraId="2B603E40" w14:textId="77777777" w:rsidR="005A3C22" w:rsidRPr="0046702C" w:rsidRDefault="005A3C22" w:rsidP="005A3C22">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Where there are substantial difficulties in retaining the services of a current Deputy Headteacher or Assistant Headteacher the Pay Body may decide to change the salary </w:t>
      </w:r>
      <w:r w:rsidRPr="0046702C">
        <w:rPr>
          <w:rFonts w:ascii="Century Gothic" w:hAnsi="Century Gothic"/>
          <w:color w:val="538135" w:themeColor="accent6" w:themeShade="BF"/>
        </w:rPr>
        <w:lastRenderedPageBreak/>
        <w:t xml:space="preserve">range in accordance with the STPCD. Only in exceptional circumstances may the Deputy Headteacher or Assistant Headteacher’s range overlap the Headteacher’s pay range. </w:t>
      </w:r>
    </w:p>
    <w:p w14:paraId="309638BD" w14:textId="77777777" w:rsidR="00B60A4B" w:rsidRPr="0046702C" w:rsidRDefault="00B60A4B" w:rsidP="00B60A4B">
      <w:pPr>
        <w:pStyle w:val="EPMNumberedHeading"/>
        <w:rPr>
          <w:rFonts w:ascii="Century Gothic" w:hAnsi="Century Gothic"/>
          <w:color w:val="538135" w:themeColor="accent6" w:themeShade="BF"/>
        </w:rPr>
      </w:pPr>
      <w:bookmarkStart w:id="44" w:name="_Toc118383118"/>
      <w:bookmarkStart w:id="45" w:name="_Toc129872991"/>
      <w:r w:rsidRPr="0046702C">
        <w:rPr>
          <w:rFonts w:ascii="Century Gothic" w:hAnsi="Century Gothic"/>
          <w:color w:val="538135" w:themeColor="accent6" w:themeShade="BF"/>
        </w:rPr>
        <w:t xml:space="preserve">Headteachers </w:t>
      </w:r>
      <w:bookmarkStart w:id="46" w:name="_Toc492546243"/>
      <w:bookmarkStart w:id="47" w:name="_Toc21097707"/>
      <w:r w:rsidRPr="0046702C">
        <w:rPr>
          <w:rFonts w:ascii="Century Gothic" w:hAnsi="Century Gothic"/>
          <w:color w:val="538135" w:themeColor="accent6" w:themeShade="BF"/>
        </w:rPr>
        <w:t>Determination of Leadership Group Salaries</w:t>
      </w:r>
      <w:bookmarkEnd w:id="44"/>
      <w:bookmarkEnd w:id="45"/>
      <w:bookmarkEnd w:id="46"/>
      <w:bookmarkEnd w:id="47"/>
    </w:p>
    <w:p w14:paraId="0E0B6795" w14:textId="77777777" w:rsidR="00B60A4B" w:rsidRPr="0046702C" w:rsidRDefault="00B60A4B" w:rsidP="00B60A4B">
      <w:pPr>
        <w:pStyle w:val="EPMSubheading"/>
        <w:ind w:left="709"/>
        <w:rPr>
          <w:rFonts w:ascii="Century Gothic" w:hAnsi="Century Gothic"/>
          <w:color w:val="538135" w:themeColor="accent6" w:themeShade="BF"/>
        </w:rPr>
      </w:pPr>
      <w:bookmarkStart w:id="48" w:name="_Toc118383119"/>
      <w:r w:rsidRPr="0046702C">
        <w:rPr>
          <w:rFonts w:ascii="Century Gothic" w:hAnsi="Century Gothic"/>
          <w:color w:val="538135" w:themeColor="accent6" w:themeShade="BF"/>
        </w:rPr>
        <w:t>Group of the School; Headteacher Pay Range (HTPR) and Pay Ranges for Other Members of the Leadership Group</w:t>
      </w:r>
      <w:bookmarkEnd w:id="48"/>
    </w:p>
    <w:p w14:paraId="27A71B13" w14:textId="77777777" w:rsidR="009D1DD1" w:rsidRPr="0046702C" w:rsidRDefault="009D1DD1" w:rsidP="009D1DD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On an annual basis, the Pay Body will recalculate the group size of the school to ensure that the unit total of the school is still correct. </w:t>
      </w:r>
    </w:p>
    <w:p w14:paraId="50C670F5" w14:textId="77777777" w:rsidR="009D1DD1" w:rsidRPr="0046702C" w:rsidRDefault="009D1DD1" w:rsidP="009D1DD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Pay Body will assign the school to the appropriate Headteacher Group (HTG) whenever a new Headteacher is to be appointed and on such occasions as the Pay Body sees fit. The Headteacher may make representations to the Review Committee to consider assigning the School to a new HTG. </w:t>
      </w:r>
    </w:p>
    <w:p w14:paraId="67E844AA" w14:textId="77777777" w:rsidR="009D1DD1" w:rsidRPr="0046702C" w:rsidRDefault="009D1DD1" w:rsidP="009D1DD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If the Pay Body changes the group of the School having re-calculated the unit total, the Pay Body will identify any new HTPR which will ensure that the minimum of the HTPR is not below the minimum of the salary range for the HTG.</w:t>
      </w:r>
    </w:p>
    <w:p w14:paraId="549F098B" w14:textId="77777777" w:rsidR="009D1DD1" w:rsidRPr="0046702C" w:rsidRDefault="009D1DD1" w:rsidP="009D1DD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HTPR of the School shall be a range of consecutive salary points selected by the Pay Body within the HTG range for the School.</w:t>
      </w:r>
    </w:p>
    <w:p w14:paraId="743E06E3" w14:textId="77777777" w:rsidR="009D1DD1" w:rsidRPr="0046702C" w:rsidRDefault="009D1DD1" w:rsidP="009D1DD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Recruitment Selection Committee, set up to appoint a new Headteacher, shall determine the salary point on the HTPR for the new Headteacher to be paid, ensuring that there is room for salary progression, subject to performance management. The Recruitment Selection Committee shall have regard to advice available from persons engaged by the Pay Body.</w:t>
      </w:r>
    </w:p>
    <w:p w14:paraId="30BF7D60" w14:textId="77777777" w:rsidR="008D6FD9" w:rsidRPr="0046702C" w:rsidRDefault="008D6FD9" w:rsidP="008D6FD9">
      <w:pPr>
        <w:pStyle w:val="Numberedsubheading"/>
        <w:rPr>
          <w:rFonts w:ascii="Century Gothic" w:hAnsi="Century Gothic"/>
          <w:color w:val="538135" w:themeColor="accent6" w:themeShade="BF"/>
        </w:rPr>
      </w:pPr>
      <w:bookmarkStart w:id="49" w:name="OLE_LINK2"/>
      <w:r w:rsidRPr="0046702C">
        <w:rPr>
          <w:rFonts w:ascii="Century Gothic" w:hAnsi="Century Gothic"/>
          <w:color w:val="538135" w:themeColor="accent6" w:themeShade="BF"/>
        </w:rPr>
        <w:t>If the Pay Body agrees to the Headteacher also being made the Headteacher of another School permanently, the Headteacher’s salary will be determined in accordance with STPCD 2022 (paragraph 6.6).</w:t>
      </w:r>
    </w:p>
    <w:p w14:paraId="3D39AB8F" w14:textId="77777777" w:rsidR="008D6FD9" w:rsidRPr="0046702C" w:rsidRDefault="008D6FD9" w:rsidP="008D6FD9">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Where such a decision is made then the Pay Body will also review the salary ranges of any other teachers affected by the arrangement by increased responsibilities. Where such arrangements are temporary the safeguarding provisions will not apply.</w:t>
      </w:r>
    </w:p>
    <w:p w14:paraId="00B1D0C9" w14:textId="00AC8EAE" w:rsidR="00F0782E" w:rsidRPr="0046702C" w:rsidRDefault="00FA73FD" w:rsidP="00FA73FD">
      <w:pPr>
        <w:pStyle w:val="EPMSubheading"/>
        <w:ind w:left="709"/>
        <w:rPr>
          <w:rFonts w:ascii="Century Gothic" w:hAnsi="Century Gothic"/>
          <w:color w:val="538135" w:themeColor="accent6" w:themeShade="BF"/>
        </w:rPr>
      </w:pPr>
      <w:bookmarkStart w:id="50" w:name="_Toc118383120"/>
      <w:bookmarkEnd w:id="49"/>
      <w:r w:rsidRPr="0046702C">
        <w:rPr>
          <w:rFonts w:ascii="Century Gothic" w:hAnsi="Century Gothic"/>
          <w:color w:val="538135" w:themeColor="accent6" w:themeShade="BF"/>
        </w:rPr>
        <w:t>Annual Review of Headteacher’s Salary</w:t>
      </w:r>
      <w:bookmarkEnd w:id="50"/>
    </w:p>
    <w:p w14:paraId="5DF586E3" w14:textId="77777777" w:rsidR="00403DE2" w:rsidRPr="0046702C" w:rsidRDefault="00403DE2" w:rsidP="00403DE2">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At the beginning of each academic year, or at any such time as the Pay Body (in consultation with the Headteacher) may decide, the Appraisal Review Committee referred to in 2.20 will agree with the Headteacher or (in the absence of an agreement) set performance objectives together with performance indicators/measures appropriate to each objective. The performance objectives will reflect the priorities identified in the School’s development plan.</w:t>
      </w:r>
    </w:p>
    <w:p w14:paraId="2F448F87" w14:textId="24C037B4" w:rsidR="00403DE2" w:rsidRPr="0046702C" w:rsidRDefault="00403DE2" w:rsidP="00403DE2">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An external adviser</w:t>
      </w:r>
      <w:r w:rsidR="00A76852" w:rsidRPr="0046702C">
        <w:rPr>
          <w:rFonts w:ascii="Century Gothic" w:hAnsi="Century Gothic"/>
          <w:color w:val="538135" w:themeColor="accent6" w:themeShade="BF"/>
        </w:rPr>
        <w:t>/CEO</w:t>
      </w:r>
      <w:r w:rsidRPr="0046702C">
        <w:rPr>
          <w:rFonts w:ascii="Century Gothic" w:hAnsi="Century Gothic"/>
          <w:color w:val="538135" w:themeColor="accent6" w:themeShade="BF"/>
        </w:rPr>
        <w:t xml:space="preserve"> appointed by the School will support the Appraisal Review Committee in carrying out the annual performance review of the Headteacher. The performance review and review statement will be conducted in accordance with the Pay Body’s Appraisal Policy.</w:t>
      </w:r>
    </w:p>
    <w:p w14:paraId="0ECCB9CE" w14:textId="0D712596" w:rsidR="0069085C" w:rsidRPr="0046702C" w:rsidRDefault="00403DE2" w:rsidP="0069085C">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lastRenderedPageBreak/>
        <w:t>Prior to submitting the recommendation to the Review Committee, the Appraisal Review Committee will advise the Headteacher of the proposed pay</w:t>
      </w:r>
      <w:r w:rsidR="0069085C" w:rsidRPr="0046702C">
        <w:rPr>
          <w:rFonts w:ascii="Century Gothic" w:hAnsi="Century Gothic"/>
          <w:color w:val="538135" w:themeColor="accent6" w:themeShade="BF"/>
        </w:rPr>
        <w:t xml:space="preserve"> recommendation. If they are not satisfied with the recommendation, they may seek a review in accordance with 2.8 – 2.10 above.</w:t>
      </w:r>
    </w:p>
    <w:p w14:paraId="3C89C3AF" w14:textId="0280C660" w:rsidR="00D75900" w:rsidRPr="0046702C" w:rsidRDefault="00D75900" w:rsidP="00AB5856">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In the Autumn Term of each year, (or where determined differently by the Pay Body as referred to in 6.9 above, in the half term immediately prior to the anniversary of the setting of the performance criteria), the Review Committee will receive a written recommendation from the Appraisal Review Committee (having consulted the Chair of Pay Body, if they are not an appraisal review governor) regarding the salary of the Headteacher. </w:t>
      </w:r>
    </w:p>
    <w:p w14:paraId="45D2836F" w14:textId="77777777" w:rsidR="00D75900" w:rsidRPr="0046702C" w:rsidRDefault="00D75900" w:rsidP="00D7590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recommendation will give reasons for the recommendation and the level of salary that it is recommended should be paid from 1 September, including any additional payments as identified in the STPCD, paragraph 10. The recommendation shall reflect the Appraisal Review Committee views based on the outcomes of the annual performance review and the Chair of Pay Body’s view of the Headteacher’s overall performance during the year. Any recommendation for progression within the HTPR will identify the recommended number of points proposed..</w:t>
      </w:r>
    </w:p>
    <w:p w14:paraId="380913C3" w14:textId="77777777" w:rsidR="00D75900" w:rsidRPr="0046702C" w:rsidRDefault="00D75900" w:rsidP="00D7590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Review Committee will consider the recommendation, together with any representations from the Headteacher, and inform the Headteacher in writing by providing a salary statement, by 31 December, to be backdated to 1 September. </w:t>
      </w:r>
    </w:p>
    <w:p w14:paraId="4F4802E5" w14:textId="77777777" w:rsidR="00D75900" w:rsidRPr="0046702C" w:rsidRDefault="00D75900" w:rsidP="00D75900">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Headteacher will have the right to appeal against the decision of the Review Committee in accordance with the procedure set out in paragraph 2.12 of this policy.</w:t>
      </w:r>
    </w:p>
    <w:p w14:paraId="4BB143B9" w14:textId="77777777" w:rsidR="00B441DA" w:rsidRPr="0046702C" w:rsidRDefault="00B441DA" w:rsidP="00B441DA">
      <w:pPr>
        <w:pStyle w:val="EPMSubheading"/>
        <w:ind w:left="709"/>
        <w:rPr>
          <w:rFonts w:ascii="Century Gothic" w:hAnsi="Century Gothic"/>
          <w:color w:val="538135" w:themeColor="accent6" w:themeShade="BF"/>
        </w:rPr>
      </w:pPr>
      <w:bookmarkStart w:id="51" w:name="_Toc118383121"/>
      <w:r w:rsidRPr="0046702C">
        <w:rPr>
          <w:rFonts w:ascii="Century Gothic" w:hAnsi="Century Gothic"/>
          <w:color w:val="538135" w:themeColor="accent6" w:themeShade="BF"/>
        </w:rPr>
        <w:t>Determination of Discretionary Payments to Headteachers</w:t>
      </w:r>
      <w:bookmarkEnd w:id="51"/>
    </w:p>
    <w:p w14:paraId="6A7FF43C" w14:textId="77777777" w:rsidR="00B441DA" w:rsidRPr="0046702C" w:rsidRDefault="00B441DA" w:rsidP="00B441DA">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may decide to pay additional payments to the Headteacher in accordance with paragraph 10 of the STPCD.</w:t>
      </w:r>
    </w:p>
    <w:p w14:paraId="49C98E71" w14:textId="77777777" w:rsidR="00B441DA" w:rsidRPr="0046702C" w:rsidRDefault="00B441DA" w:rsidP="00B441DA">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Where a decision is made to increase the Headteacher’s salary beyond the maximum of the appropriate HTG determined in accordance with paragraph 6.15 above, the total sum of all payments made to the Headteacher will not exceed 25 per cent of the maximum of the HTG, except in wholly exceptional circumstances, which will be approved by the Pay Body. </w:t>
      </w:r>
    </w:p>
    <w:p w14:paraId="546A6D6D" w14:textId="77777777" w:rsidR="00B441DA" w:rsidRPr="0046702C" w:rsidRDefault="00B441DA" w:rsidP="00B441DA">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If it is considered necessary to exercise the provision set out in 6.16 above, the Pay Body will take external independent advice in accordance with paragraph 9.3 of the STPCD before agreeing to such a decision.</w:t>
      </w:r>
    </w:p>
    <w:p w14:paraId="1B797597" w14:textId="77777777" w:rsidR="00A2623C" w:rsidRPr="0046702C" w:rsidRDefault="00A2623C" w:rsidP="00A2623C">
      <w:pPr>
        <w:pStyle w:val="EPMSubheading"/>
        <w:ind w:left="709"/>
        <w:rPr>
          <w:rFonts w:ascii="Century Gothic" w:hAnsi="Century Gothic"/>
          <w:color w:val="538135" w:themeColor="accent6" w:themeShade="BF"/>
        </w:rPr>
      </w:pPr>
      <w:bookmarkStart w:id="52" w:name="_Toc118383122"/>
      <w:r w:rsidRPr="0046702C">
        <w:rPr>
          <w:rFonts w:ascii="Century Gothic" w:hAnsi="Century Gothic"/>
          <w:color w:val="538135" w:themeColor="accent6" w:themeShade="BF"/>
        </w:rPr>
        <w:t>Acting Up Allowances</w:t>
      </w:r>
      <w:bookmarkEnd w:id="52"/>
      <w:r w:rsidRPr="0046702C">
        <w:rPr>
          <w:rFonts w:ascii="Century Gothic" w:hAnsi="Century Gothic"/>
          <w:color w:val="538135" w:themeColor="accent6" w:themeShade="BF"/>
        </w:rPr>
        <w:t xml:space="preserve"> </w:t>
      </w:r>
    </w:p>
    <w:p w14:paraId="1DA0F388" w14:textId="77777777" w:rsidR="00A2623C" w:rsidRPr="0046702C" w:rsidRDefault="00A2623C" w:rsidP="00A2623C">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If during any absence of the Headteacher, Deputy or Assistant Headteacher or a TLR post holder, the acting appointment is made and maintained for a period then the Pay Body will consider within four weeks of the acting appointment whether or not the teacher shall be paid an acting allowance calculated in accordance with 6.19 below. If no allowance is paid the Pay Body may reconsider the position at any time.</w:t>
      </w:r>
    </w:p>
    <w:p w14:paraId="2092709C" w14:textId="7EE72D9A" w:rsidR="00A543F7" w:rsidRPr="0046702C" w:rsidRDefault="00A2623C" w:rsidP="00AB5856">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In the prolonged absence of the Headteacher, a Deputy Headteacher, an Assistant Headteacher or a TLR post holder, the Pay Body may appoint a teacher to act up during the absence of the post holder. From the date that the Pay Body considers it necessary </w:t>
      </w:r>
      <w:r w:rsidRPr="0046702C">
        <w:rPr>
          <w:rFonts w:ascii="Century Gothic" w:hAnsi="Century Gothic"/>
          <w:color w:val="538135" w:themeColor="accent6" w:themeShade="BF"/>
        </w:rPr>
        <w:lastRenderedPageBreak/>
        <w:t>to make an acting appointment, an allowance will be paid equal to the difference between the salary currently paid to the person appointed to act up and a point considered appropriate by the Pay Body. The relevant conditions of service detailed within the STPCD will apply to any person in receipt of such an acting allowance.</w:t>
      </w:r>
    </w:p>
    <w:p w14:paraId="41A442E1" w14:textId="77777777" w:rsidR="00C1255A" w:rsidRPr="0046702C" w:rsidRDefault="00C1255A" w:rsidP="00C1255A">
      <w:pPr>
        <w:pStyle w:val="EPMNumberedHeading"/>
        <w:rPr>
          <w:rFonts w:ascii="Century Gothic" w:hAnsi="Century Gothic"/>
          <w:color w:val="538135" w:themeColor="accent6" w:themeShade="BF"/>
        </w:rPr>
      </w:pPr>
      <w:bookmarkStart w:id="53" w:name="_Toc492546245"/>
      <w:bookmarkStart w:id="54" w:name="_Toc21097709"/>
      <w:bookmarkStart w:id="55" w:name="_Toc118383124"/>
      <w:bookmarkStart w:id="56" w:name="_Toc129872993"/>
      <w:r w:rsidRPr="0046702C">
        <w:rPr>
          <w:rFonts w:ascii="Century Gothic" w:hAnsi="Century Gothic"/>
          <w:color w:val="538135" w:themeColor="accent6" w:themeShade="BF"/>
        </w:rPr>
        <w:t>Unqualified Teachers</w:t>
      </w:r>
      <w:bookmarkEnd w:id="53"/>
      <w:bookmarkEnd w:id="54"/>
      <w:bookmarkEnd w:id="55"/>
      <w:bookmarkEnd w:id="56"/>
      <w:r w:rsidRPr="0046702C">
        <w:rPr>
          <w:rFonts w:ascii="Century Gothic" w:hAnsi="Century Gothic"/>
          <w:color w:val="538135" w:themeColor="accent6" w:themeShade="BF"/>
        </w:rPr>
        <w:t xml:space="preserve"> </w:t>
      </w:r>
    </w:p>
    <w:p w14:paraId="55A68236" w14:textId="77777777" w:rsidR="00C1255A" w:rsidRPr="0046702C" w:rsidRDefault="00C1255A" w:rsidP="00C1255A">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may employ unqualified teachers/instructors in the School. Such unqualified teachers will be paid in accordance with paragraph 17 of the STPCD.</w:t>
      </w:r>
    </w:p>
    <w:p w14:paraId="6FDE459B" w14:textId="77777777" w:rsidR="00C1255A" w:rsidRPr="0046702C" w:rsidRDefault="00C1255A" w:rsidP="00C1255A">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point on the Pay Body’s unqualified teacher range, within the maximum and minimum of the range as set out in paragraph 17 of the STPCD, at which a new appointment will be paid, will be determined by the Headteacher, in consultation with the Chair of the Pay Body, and will take account of the qualifications and experience considered to be relevant to the post.</w:t>
      </w:r>
    </w:p>
    <w:p w14:paraId="3D212C0B" w14:textId="77777777" w:rsidR="00C1255A" w:rsidRPr="0046702C" w:rsidRDefault="00C1255A" w:rsidP="00C1255A">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In addition to the appropriate point on the unqualified teachers’ pay range the Headteacher, in consultation with the Chair of the Pay Body, may award an additional annual allowance in accordance with paragraph 22 of the STPCD to a person appointed as an unqualified teacher who either takes on a sustained additional responsibility, which is focussed on teaching and learning and requires the exercise of a teacher’s professional skills and judgement or who the Headteacher and Chair of the Pay Body believes has additional qualifications and/or experience to warrant such an award. </w:t>
      </w:r>
    </w:p>
    <w:p w14:paraId="51361955" w14:textId="77777777" w:rsidR="00FB4343" w:rsidRPr="0046702C" w:rsidRDefault="00FB4343" w:rsidP="00FB4343">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Headteacher will report any award of such an allowance to the Review Committee of the Pay Body.</w:t>
      </w:r>
    </w:p>
    <w:p w14:paraId="7E3D2944" w14:textId="5B2C4E5A" w:rsidR="00485B69" w:rsidRPr="0046702C" w:rsidRDefault="00FB4343" w:rsidP="002E1D87">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arrangements for salary progression and salary safeguarding for teachers also apply to unqualified teachers.</w:t>
      </w:r>
    </w:p>
    <w:p w14:paraId="49E059F3" w14:textId="6304A849" w:rsidR="00485B69" w:rsidRPr="0046702C" w:rsidRDefault="00485B69" w:rsidP="00485B69">
      <w:pPr>
        <w:pStyle w:val="EPMNumberedHeading"/>
        <w:rPr>
          <w:rFonts w:ascii="Century Gothic" w:hAnsi="Century Gothic"/>
          <w:color w:val="538135" w:themeColor="accent6" w:themeShade="BF"/>
        </w:rPr>
      </w:pPr>
      <w:bookmarkStart w:id="57" w:name="_Toc492546246"/>
      <w:bookmarkStart w:id="58" w:name="_Toc21097710"/>
      <w:bookmarkStart w:id="59" w:name="_Toc118383125"/>
      <w:bookmarkStart w:id="60" w:name="_Toc129872994"/>
      <w:r w:rsidRPr="0046702C">
        <w:rPr>
          <w:rFonts w:ascii="Century Gothic" w:hAnsi="Century Gothic"/>
          <w:color w:val="538135" w:themeColor="accent6" w:themeShade="BF"/>
        </w:rPr>
        <w:t>Salaries of Support Staff</w:t>
      </w:r>
      <w:bookmarkEnd w:id="57"/>
      <w:bookmarkEnd w:id="58"/>
      <w:bookmarkEnd w:id="59"/>
      <w:bookmarkEnd w:id="60"/>
    </w:p>
    <w:p w14:paraId="79E20CCC" w14:textId="2073D1E9" w:rsidR="00485B69" w:rsidRPr="0046702C" w:rsidRDefault="00485B69">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On appointing a member of support </w:t>
      </w:r>
      <w:proofErr w:type="gramStart"/>
      <w:r w:rsidRPr="0046702C">
        <w:rPr>
          <w:rFonts w:ascii="Century Gothic" w:hAnsi="Century Gothic"/>
          <w:color w:val="538135" w:themeColor="accent6" w:themeShade="BF"/>
        </w:rPr>
        <w:t>staff</w:t>
      </w:r>
      <w:proofErr w:type="gramEnd"/>
      <w:r w:rsidRPr="0046702C">
        <w:rPr>
          <w:rFonts w:ascii="Century Gothic" w:hAnsi="Century Gothic"/>
          <w:color w:val="538135" w:themeColor="accent6" w:themeShade="BF"/>
        </w:rPr>
        <w:t xml:space="preserve"> the job description determined for the post will be evaluated in accordance with the adopted </w:t>
      </w:r>
      <w:r w:rsidRPr="0046702C">
        <w:rPr>
          <w:rStyle w:val="EPMBracketChar"/>
          <w:rFonts w:ascii="Century Gothic" w:hAnsi="Century Gothic"/>
          <w:color w:val="538135" w:themeColor="accent6" w:themeShade="BF"/>
        </w:rPr>
        <w:t>local authority</w:t>
      </w:r>
      <w:r w:rsidRPr="0046702C">
        <w:rPr>
          <w:rFonts w:ascii="Century Gothic" w:hAnsi="Century Gothic"/>
          <w:color w:val="538135" w:themeColor="accent6" w:themeShade="BF"/>
        </w:rPr>
        <w:t xml:space="preserve"> job evaluation scheme or via benchmarking internally and externally. Advice on appropriate evaluation processes will be sought from persons engaged by the Pay Body</w:t>
      </w:r>
      <w:r w:rsidR="00A76852" w:rsidRPr="0046702C">
        <w:rPr>
          <w:rFonts w:ascii="Century Gothic" w:hAnsi="Century Gothic"/>
          <w:color w:val="538135" w:themeColor="accent6" w:themeShade="BF"/>
        </w:rPr>
        <w:t>.  Staff joining the Trust will be protected by measures under TUPE.</w:t>
      </w:r>
    </w:p>
    <w:p w14:paraId="561AC35F" w14:textId="0AE12200" w:rsidR="00485B69" w:rsidRPr="0046702C" w:rsidRDefault="00485B69">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Headteacher, in consultation with the Chair of the Pay Body, will determine the appropriate point on the evaluated range having regard to:</w:t>
      </w:r>
    </w:p>
    <w:p w14:paraId="5BC5F392" w14:textId="77777777" w:rsidR="00485B69" w:rsidRPr="0046702C" w:rsidRDefault="00485B69" w:rsidP="00485B69">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Relevant qualifications and/or competencies; and</w:t>
      </w:r>
    </w:p>
    <w:p w14:paraId="541DFCA2" w14:textId="77777777" w:rsidR="00485B69" w:rsidRPr="0046702C" w:rsidRDefault="00485B69" w:rsidP="00485B69">
      <w:pPr>
        <w:pStyle w:val="EPMBullets"/>
        <w:ind w:left="1843" w:hanging="425"/>
        <w:rPr>
          <w:rFonts w:ascii="Century Gothic" w:hAnsi="Century Gothic"/>
          <w:color w:val="538135" w:themeColor="accent6" w:themeShade="BF"/>
        </w:rPr>
      </w:pPr>
      <w:r w:rsidRPr="0046702C">
        <w:rPr>
          <w:rFonts w:ascii="Century Gothic" w:hAnsi="Century Gothic"/>
          <w:color w:val="538135" w:themeColor="accent6" w:themeShade="BF"/>
        </w:rPr>
        <w:t>Recruitment/retention needs of the school in respect of the post.</w:t>
      </w:r>
    </w:p>
    <w:p w14:paraId="7690038E" w14:textId="77777777" w:rsidR="00360EC6" w:rsidRPr="0046702C" w:rsidRDefault="00360EC6" w:rsidP="00360EC6">
      <w:pPr>
        <w:pStyle w:val="EPMSubheading"/>
        <w:ind w:left="709"/>
        <w:rPr>
          <w:rFonts w:ascii="Century Gothic" w:hAnsi="Century Gothic"/>
          <w:color w:val="538135" w:themeColor="accent6" w:themeShade="BF"/>
        </w:rPr>
      </w:pPr>
      <w:bookmarkStart w:id="61" w:name="_Toc118383126"/>
      <w:r w:rsidRPr="0046702C">
        <w:rPr>
          <w:rFonts w:ascii="Century Gothic" w:hAnsi="Century Gothic"/>
          <w:color w:val="538135" w:themeColor="accent6" w:themeShade="BF"/>
        </w:rPr>
        <w:t>The decision of the Headteacher will be reported to the Review Committee.</w:t>
      </w:r>
      <w:bookmarkEnd w:id="61"/>
    </w:p>
    <w:p w14:paraId="0DE560E4" w14:textId="16627AA7" w:rsidR="00360EC6" w:rsidRPr="0046702C" w:rsidRDefault="00360EC6" w:rsidP="00360EC6">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If at any time the Headteacher, in consultation with the Chair of the Pay Body, considers that a member of the support staff is being asked to undertake increased or decreased responsibilities permanently, the job description may be re-evaluated. If the evaluation provides for a higher salary, that salary will be paid to the post holder from a date determined by the Headteacher and, in the case of a temporary increase in responsibility, the date to which the new salary will be paid will also be stated. </w:t>
      </w:r>
      <w:r w:rsidRPr="0046702C">
        <w:rPr>
          <w:rStyle w:val="EPMBracketChar"/>
          <w:rFonts w:ascii="Century Gothic" w:hAnsi="Century Gothic"/>
          <w:color w:val="538135" w:themeColor="accent6" w:themeShade="BF"/>
        </w:rPr>
        <w:t xml:space="preserve">If the </w:t>
      </w:r>
      <w:r w:rsidRPr="0046702C">
        <w:rPr>
          <w:rStyle w:val="EPMBracketChar"/>
          <w:rFonts w:ascii="Century Gothic" w:hAnsi="Century Gothic"/>
          <w:color w:val="538135" w:themeColor="accent6" w:themeShade="BF"/>
        </w:rPr>
        <w:lastRenderedPageBreak/>
        <w:t>evaluation provides for a lower salary, the employee will be entitled to salary safeguarding for a period in accordance with [the Pay Body’s polic</w:t>
      </w:r>
      <w:r w:rsidR="00A76852" w:rsidRPr="0046702C">
        <w:rPr>
          <w:rStyle w:val="EPMBracketChar"/>
          <w:rFonts w:ascii="Century Gothic" w:hAnsi="Century Gothic"/>
          <w:color w:val="538135" w:themeColor="accent6" w:themeShade="BF"/>
        </w:rPr>
        <w:t xml:space="preserve">y. </w:t>
      </w:r>
      <w:r w:rsidRPr="0046702C">
        <w:rPr>
          <w:rFonts w:ascii="Century Gothic" w:hAnsi="Century Gothic"/>
          <w:color w:val="538135" w:themeColor="accent6" w:themeShade="BF"/>
        </w:rPr>
        <w:t>The new salary level will be reported to the Review Committee at its next meeting.</w:t>
      </w:r>
    </w:p>
    <w:p w14:paraId="6BE1502C" w14:textId="7FCE0560" w:rsidR="00E11BC9" w:rsidRPr="0046702C" w:rsidRDefault="00E11BC9" w:rsidP="00E11BC9">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Headteacher will make any recommendation to the Review Committee in respect of the salary of any member of the support staff to take effect annually on </w:t>
      </w:r>
      <w:r w:rsidR="00467EC9" w:rsidRPr="0046702C">
        <w:rPr>
          <w:rStyle w:val="BracketsinsertwordingChar"/>
          <w:rFonts w:ascii="Century Gothic" w:hAnsi="Century Gothic"/>
          <w:color w:val="538135" w:themeColor="accent6" w:themeShade="BF"/>
        </w:rPr>
        <w:t>1</w:t>
      </w:r>
      <w:r w:rsidR="00467EC9" w:rsidRPr="0046702C">
        <w:rPr>
          <w:rStyle w:val="BracketsinsertwordingChar"/>
          <w:rFonts w:ascii="Century Gothic" w:hAnsi="Century Gothic"/>
          <w:color w:val="538135" w:themeColor="accent6" w:themeShade="BF"/>
          <w:vertAlign w:val="superscript"/>
        </w:rPr>
        <w:t>st</w:t>
      </w:r>
      <w:r w:rsidR="00467EC9" w:rsidRPr="0046702C">
        <w:rPr>
          <w:rStyle w:val="BracketsinsertwordingChar"/>
          <w:rFonts w:ascii="Century Gothic" w:hAnsi="Century Gothic"/>
          <w:color w:val="538135" w:themeColor="accent6" w:themeShade="BF"/>
        </w:rPr>
        <w:t xml:space="preserve"> September</w:t>
      </w:r>
      <w:r w:rsidRPr="0046702C">
        <w:rPr>
          <w:rStyle w:val="BracketsinsertwordingChar"/>
          <w:rFonts w:ascii="Century Gothic" w:hAnsi="Century Gothic"/>
          <w:color w:val="538135" w:themeColor="accent6" w:themeShade="BF"/>
        </w:rPr>
        <w:t>.</w:t>
      </w:r>
      <w:r w:rsidRPr="0046702C">
        <w:rPr>
          <w:rFonts w:ascii="Century Gothic" w:hAnsi="Century Gothic"/>
          <w:color w:val="538135" w:themeColor="accent6" w:themeShade="BF"/>
        </w:rPr>
        <w:t xml:space="preserve"> Where the Headteacher considers it appropriate, a recommendation to the Review Committee that a named member/s of the support staff shall be awarded an honorarium for the excellence of their performance during the previous year. The honorarium may either be paid as a lump sum payment at the next salary payment after the Review Committee’s decision or as a 1/12 increase in monthly salary over the next year.</w:t>
      </w:r>
    </w:p>
    <w:p w14:paraId="3DCDA989" w14:textId="77777777" w:rsidR="00E11BC9" w:rsidRPr="0046702C" w:rsidRDefault="00E11BC9" w:rsidP="00E11BC9">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If any member of support staff wishes to appeal against their salary level they may ask for a re-evaluation of their job description. If a member of the support staff decides to appeal against a decision of the Review Committee, then they shall enter a formal written statement of appeal. The appeal shall be heard by the Review Appeal Committee referred to in paragraph 2.5 above.</w:t>
      </w:r>
    </w:p>
    <w:p w14:paraId="15EDC8DC" w14:textId="77777777" w:rsidR="00E11BC9" w:rsidRPr="0046702C" w:rsidRDefault="00E11BC9" w:rsidP="00E11BC9">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Support Staff pay scales are set out in Annex H</w:t>
      </w:r>
    </w:p>
    <w:p w14:paraId="366D86EE" w14:textId="77777777" w:rsidR="003E3DC2" w:rsidRPr="0046702C" w:rsidRDefault="003E3DC2" w:rsidP="003E3DC2">
      <w:pPr>
        <w:pStyle w:val="EPMNumberedHeading"/>
        <w:rPr>
          <w:rFonts w:ascii="Century Gothic" w:hAnsi="Century Gothic"/>
          <w:color w:val="538135" w:themeColor="accent6" w:themeShade="BF"/>
        </w:rPr>
      </w:pPr>
      <w:bookmarkStart w:id="62" w:name="_Toc118383127"/>
      <w:bookmarkStart w:id="63" w:name="_Toc129872995"/>
      <w:r w:rsidRPr="0046702C">
        <w:rPr>
          <w:rFonts w:ascii="Century Gothic" w:hAnsi="Century Gothic"/>
          <w:color w:val="538135" w:themeColor="accent6" w:themeShade="BF"/>
        </w:rPr>
        <w:t>Apprentices</w:t>
      </w:r>
      <w:bookmarkEnd w:id="62"/>
      <w:bookmarkEnd w:id="63"/>
    </w:p>
    <w:p w14:paraId="614126D4" w14:textId="0F82D27C" w:rsidR="007C5281" w:rsidRPr="0046702C" w:rsidRDefault="003E3DC2" w:rsidP="002E1D87">
      <w:pPr>
        <w:pStyle w:val="Numberedsubheading"/>
        <w:rPr>
          <w:rFonts w:ascii="Century Gothic" w:hAnsi="Century Gothic" w:cs="Calibri"/>
          <w:color w:val="538135" w:themeColor="accent6" w:themeShade="BF"/>
          <w:sz w:val="20"/>
          <w:szCs w:val="20"/>
        </w:rPr>
      </w:pPr>
      <w:r w:rsidRPr="0046702C">
        <w:rPr>
          <w:rFonts w:ascii="Century Gothic" w:hAnsi="Century Gothic"/>
          <w:color w:val="538135" w:themeColor="accent6" w:themeShade="BF"/>
        </w:rPr>
        <w:t xml:space="preserve">Apprentices will </w:t>
      </w:r>
      <w:r w:rsidRPr="0046702C">
        <w:rPr>
          <w:rFonts w:ascii="Century Gothic" w:hAnsi="Century Gothic"/>
          <w:b/>
          <w:color w:val="538135" w:themeColor="accent6" w:themeShade="BF"/>
        </w:rPr>
        <w:t>not</w:t>
      </w:r>
      <w:r w:rsidRPr="0046702C">
        <w:rPr>
          <w:rFonts w:ascii="Century Gothic" w:hAnsi="Century Gothic"/>
          <w:color w:val="538135" w:themeColor="accent6" w:themeShade="BF"/>
        </w:rPr>
        <w:t xml:space="preserve"> be paid with in line with Annex E or H, rather the rates of pay will be determined with reference to the Government’s statutory minimum rates for apprentices that take into account the apprentices age and the year of their apprenticeship.</w:t>
      </w:r>
    </w:p>
    <w:p w14:paraId="558A5751" w14:textId="77777777" w:rsidR="007C5281" w:rsidRPr="0046702C" w:rsidRDefault="007C5281" w:rsidP="007C5281">
      <w:pPr>
        <w:pStyle w:val="EPMNumberedHeading"/>
        <w:rPr>
          <w:rFonts w:ascii="Century Gothic" w:hAnsi="Century Gothic"/>
          <w:color w:val="538135" w:themeColor="accent6" w:themeShade="BF"/>
        </w:rPr>
      </w:pPr>
      <w:bookmarkStart w:id="64" w:name="_Toc118383128"/>
      <w:bookmarkStart w:id="65" w:name="_Toc129872996"/>
      <w:r w:rsidRPr="0046702C">
        <w:rPr>
          <w:rFonts w:ascii="Century Gothic" w:hAnsi="Century Gothic"/>
          <w:color w:val="538135" w:themeColor="accent6" w:themeShade="BF"/>
        </w:rPr>
        <w:t>Salary Sacrifice Scheme</w:t>
      </w:r>
      <w:bookmarkEnd w:id="64"/>
      <w:bookmarkEnd w:id="65"/>
      <w:r w:rsidRPr="0046702C">
        <w:rPr>
          <w:rFonts w:ascii="Century Gothic" w:hAnsi="Century Gothic"/>
          <w:color w:val="538135" w:themeColor="accent6" w:themeShade="BF"/>
        </w:rPr>
        <w:t xml:space="preserve"> </w:t>
      </w:r>
    </w:p>
    <w:p w14:paraId="3744A3E1" w14:textId="2C197525" w:rsidR="007C5281" w:rsidRPr="0046702C" w:rsidRDefault="007C5281" w:rsidP="007C5281">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will support and encourage any salary sacrifice scheme as identified in the STPCD and made available by the Pay Body from which teachers or support staff employed in the School benefit where there is no additional cost to the Pay Body’s budget.</w:t>
      </w:r>
    </w:p>
    <w:p w14:paraId="0680F668" w14:textId="77777777" w:rsidR="00225057" w:rsidRPr="0046702C" w:rsidRDefault="00225057" w:rsidP="00225057">
      <w:pPr>
        <w:pStyle w:val="EPMNumberedHeading"/>
        <w:rPr>
          <w:rFonts w:ascii="Century Gothic" w:hAnsi="Century Gothic"/>
          <w:color w:val="538135" w:themeColor="accent6" w:themeShade="BF"/>
        </w:rPr>
      </w:pPr>
      <w:bookmarkStart w:id="66" w:name="_Toc492546248"/>
      <w:bookmarkStart w:id="67" w:name="_Toc21097712"/>
      <w:bookmarkStart w:id="68" w:name="_Toc118383129"/>
      <w:bookmarkStart w:id="69" w:name="_Toc129872997"/>
      <w:r w:rsidRPr="0046702C">
        <w:rPr>
          <w:rFonts w:ascii="Century Gothic" w:hAnsi="Century Gothic"/>
          <w:color w:val="538135" w:themeColor="accent6" w:themeShade="BF"/>
        </w:rPr>
        <w:t>Review of the Policy</w:t>
      </w:r>
      <w:bookmarkEnd w:id="66"/>
      <w:bookmarkEnd w:id="67"/>
      <w:bookmarkEnd w:id="68"/>
      <w:bookmarkEnd w:id="69"/>
      <w:r w:rsidRPr="0046702C">
        <w:rPr>
          <w:rFonts w:ascii="Century Gothic" w:hAnsi="Century Gothic"/>
          <w:color w:val="538135" w:themeColor="accent6" w:themeShade="BF"/>
        </w:rPr>
        <w:t xml:space="preserve"> </w:t>
      </w:r>
    </w:p>
    <w:p w14:paraId="1C79A071" w14:textId="77777777" w:rsidR="00225057" w:rsidRPr="0046702C" w:rsidRDefault="00225057" w:rsidP="00225057">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The Pay Body will review this policy annually, or on any occasion when it is requested to do so by the Headteacher.</w:t>
      </w:r>
    </w:p>
    <w:p w14:paraId="010CCC6C" w14:textId="77777777" w:rsidR="00225057" w:rsidRPr="0046702C" w:rsidRDefault="00225057" w:rsidP="00225057">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The Pay Body will consult with employees and the recognised trade unions at the time of the annual or any other review of the policy, where changes are made that affect the application of the policy. </w:t>
      </w:r>
    </w:p>
    <w:p w14:paraId="630AF5A4" w14:textId="52AC053E" w:rsidR="00225057" w:rsidRPr="0046702C" w:rsidRDefault="00225057" w:rsidP="00225057">
      <w:pPr>
        <w:pStyle w:val="Numberedsubheading"/>
        <w:rPr>
          <w:rFonts w:ascii="Century Gothic" w:hAnsi="Century Gothic"/>
          <w:color w:val="538135" w:themeColor="accent6" w:themeShade="BF"/>
        </w:rPr>
      </w:pPr>
      <w:r w:rsidRPr="0046702C">
        <w:rPr>
          <w:rFonts w:ascii="Century Gothic" w:hAnsi="Century Gothic"/>
          <w:color w:val="538135" w:themeColor="accent6" w:themeShade="BF"/>
        </w:rPr>
        <w:t xml:space="preserve">However, where amendments to the policy are made that do not affect the application of the policy, these changes will not be consulted on. The revised document will be circulated to staff. </w:t>
      </w:r>
    </w:p>
    <w:p w14:paraId="0CE5BE23" w14:textId="67AFC755" w:rsidR="000B30F7" w:rsidRPr="0046702C" w:rsidRDefault="0006226F" w:rsidP="0046702C">
      <w:pPr>
        <w:pStyle w:val="EPMTextstyle"/>
        <w:tabs>
          <w:tab w:val="clear" w:pos="284"/>
          <w:tab w:val="clear" w:pos="567"/>
          <w:tab w:val="clear" w:pos="851"/>
          <w:tab w:val="left" w:pos="1276"/>
          <w:tab w:val="left" w:pos="1560"/>
        </w:tabs>
        <w:ind w:left="1134" w:hanging="425"/>
        <w:rPr>
          <w:rFonts w:ascii="Century Gothic" w:hAnsi="Century Gothic"/>
          <w:color w:val="538135" w:themeColor="accent6" w:themeShade="BF"/>
          <w:sz w:val="20"/>
          <w:szCs w:val="18"/>
        </w:rPr>
      </w:pPr>
      <w:r w:rsidRPr="0046702C">
        <w:rPr>
          <w:rFonts w:ascii="Century Gothic" w:hAnsi="Century Gothic"/>
          <w:color w:val="538135" w:themeColor="accent6" w:themeShade="BF"/>
          <w:sz w:val="20"/>
          <w:szCs w:val="18"/>
        </w:rPr>
        <w:t>**</w:t>
      </w:r>
      <w:r w:rsidRPr="0046702C">
        <w:rPr>
          <w:rFonts w:ascii="Century Gothic" w:hAnsi="Century Gothic"/>
          <w:color w:val="538135" w:themeColor="accent6" w:themeShade="BF"/>
          <w:sz w:val="20"/>
          <w:szCs w:val="18"/>
        </w:rPr>
        <w:tab/>
        <w:t>Pay Bodies should be aware that there may be a cost if they continue to operate the salary sacrifice childcare voucher schemes established prior to 5 October 2018 when an employee in receipt of childcare vouchers is on maternity leave and is no longer receiving contractual pay.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76"/>
        <w:gridCol w:w="933"/>
        <w:gridCol w:w="1630"/>
        <w:gridCol w:w="2091"/>
        <w:gridCol w:w="1566"/>
      </w:tblGrid>
      <w:tr w:rsidR="0046702C" w:rsidRPr="0046702C" w14:paraId="77D81DDC" w14:textId="77777777" w:rsidTr="00822ABA">
        <w:tc>
          <w:tcPr>
            <w:tcW w:w="2260" w:type="dxa"/>
            <w:shd w:val="clear" w:color="auto" w:fill="auto"/>
          </w:tcPr>
          <w:p w14:paraId="1F2E7BC5" w14:textId="77777777" w:rsidR="0046702C" w:rsidRPr="0046702C" w:rsidRDefault="0046702C" w:rsidP="0046702C">
            <w:pPr>
              <w:rPr>
                <w:rFonts w:ascii="Century Gothic" w:eastAsia="Calibri" w:hAnsi="Century Gothic" w:cs="Times New Roman"/>
                <w:bCs/>
                <w:color w:val="538135"/>
                <w:kern w:val="2"/>
                <w:sz w:val="20"/>
                <w:szCs w:val="20"/>
              </w:rPr>
            </w:pPr>
            <w:r w:rsidRPr="0046702C">
              <w:rPr>
                <w:rFonts w:ascii="Century Gothic" w:eastAsia="Calibri" w:hAnsi="Century Gothic" w:cs="Times New Roman"/>
                <w:bCs/>
                <w:color w:val="538135"/>
                <w:kern w:val="2"/>
                <w:sz w:val="20"/>
                <w:szCs w:val="20"/>
              </w:rPr>
              <w:t>Next Review Date</w:t>
            </w:r>
          </w:p>
        </w:tc>
        <w:tc>
          <w:tcPr>
            <w:tcW w:w="1976" w:type="dxa"/>
            <w:shd w:val="clear" w:color="auto" w:fill="FF0000"/>
          </w:tcPr>
          <w:p w14:paraId="554EEEB6" w14:textId="77777777" w:rsidR="0046702C" w:rsidRPr="0046702C" w:rsidRDefault="0046702C" w:rsidP="0046702C">
            <w:pPr>
              <w:rPr>
                <w:rFonts w:ascii="Century Gothic" w:eastAsia="Calibri" w:hAnsi="Century Gothic" w:cs="Times New Roman"/>
                <w:bCs/>
                <w:kern w:val="2"/>
                <w:sz w:val="20"/>
                <w:szCs w:val="20"/>
              </w:rPr>
            </w:pPr>
            <w:r w:rsidRPr="0046702C">
              <w:rPr>
                <w:rFonts w:ascii="Century Gothic" w:eastAsia="Calibri" w:hAnsi="Century Gothic" w:cs="Times New Roman"/>
                <w:bCs/>
                <w:kern w:val="2"/>
                <w:sz w:val="20"/>
                <w:szCs w:val="20"/>
              </w:rPr>
              <w:t>December 2024</w:t>
            </w:r>
          </w:p>
        </w:tc>
        <w:tc>
          <w:tcPr>
            <w:tcW w:w="933" w:type="dxa"/>
            <w:shd w:val="clear" w:color="auto" w:fill="auto"/>
          </w:tcPr>
          <w:p w14:paraId="50289428" w14:textId="77777777" w:rsidR="0046702C" w:rsidRPr="0046702C" w:rsidRDefault="0046702C" w:rsidP="0046702C">
            <w:pPr>
              <w:rPr>
                <w:rFonts w:ascii="Century Gothic" w:eastAsia="Calibri" w:hAnsi="Century Gothic" w:cs="Times New Roman"/>
                <w:bCs/>
                <w:color w:val="538135"/>
                <w:kern w:val="2"/>
                <w:sz w:val="20"/>
                <w:szCs w:val="20"/>
              </w:rPr>
            </w:pPr>
            <w:r w:rsidRPr="0046702C">
              <w:rPr>
                <w:rFonts w:ascii="Century Gothic" w:eastAsia="Calibri" w:hAnsi="Century Gothic" w:cs="Times New Roman"/>
                <w:bCs/>
                <w:color w:val="538135"/>
                <w:kern w:val="2"/>
                <w:sz w:val="20"/>
                <w:szCs w:val="20"/>
              </w:rPr>
              <w:t xml:space="preserve">Version </w:t>
            </w:r>
          </w:p>
        </w:tc>
        <w:tc>
          <w:tcPr>
            <w:tcW w:w="1630" w:type="dxa"/>
            <w:shd w:val="clear" w:color="auto" w:fill="auto"/>
          </w:tcPr>
          <w:p w14:paraId="3FC8ACC8" w14:textId="77777777" w:rsidR="0046702C" w:rsidRPr="0046702C" w:rsidRDefault="0046702C" w:rsidP="0046702C">
            <w:pPr>
              <w:rPr>
                <w:rFonts w:ascii="Century Gothic" w:eastAsia="Calibri" w:hAnsi="Century Gothic" w:cs="Times New Roman"/>
                <w:color w:val="538135"/>
                <w:kern w:val="2"/>
                <w:sz w:val="20"/>
                <w:szCs w:val="20"/>
              </w:rPr>
            </w:pPr>
            <w:r w:rsidRPr="0046702C">
              <w:rPr>
                <w:rFonts w:ascii="Century Gothic" w:eastAsia="Calibri" w:hAnsi="Century Gothic" w:cs="Times New Roman"/>
                <w:color w:val="538135"/>
                <w:kern w:val="2"/>
                <w:sz w:val="20"/>
                <w:szCs w:val="20"/>
              </w:rPr>
              <w:t>1</w:t>
            </w:r>
          </w:p>
        </w:tc>
        <w:tc>
          <w:tcPr>
            <w:tcW w:w="2091" w:type="dxa"/>
            <w:shd w:val="clear" w:color="auto" w:fill="auto"/>
          </w:tcPr>
          <w:p w14:paraId="10993DDD" w14:textId="77777777" w:rsidR="0046702C" w:rsidRPr="0046702C" w:rsidRDefault="0046702C" w:rsidP="0046702C">
            <w:pPr>
              <w:rPr>
                <w:rFonts w:ascii="Century Gothic" w:eastAsia="Calibri" w:hAnsi="Century Gothic" w:cs="Times New Roman"/>
                <w:bCs/>
                <w:color w:val="538135"/>
                <w:kern w:val="2"/>
                <w:sz w:val="20"/>
                <w:szCs w:val="20"/>
              </w:rPr>
            </w:pPr>
            <w:r w:rsidRPr="0046702C">
              <w:rPr>
                <w:rFonts w:ascii="Century Gothic" w:eastAsia="Calibri" w:hAnsi="Century Gothic" w:cs="Times New Roman"/>
                <w:bCs/>
                <w:color w:val="538135"/>
                <w:kern w:val="2"/>
                <w:sz w:val="20"/>
                <w:szCs w:val="20"/>
              </w:rPr>
              <w:t xml:space="preserve">Approval Date </w:t>
            </w:r>
          </w:p>
        </w:tc>
        <w:tc>
          <w:tcPr>
            <w:tcW w:w="1566" w:type="dxa"/>
            <w:shd w:val="clear" w:color="auto" w:fill="auto"/>
          </w:tcPr>
          <w:p w14:paraId="61E70C84" w14:textId="77777777" w:rsidR="0046702C" w:rsidRPr="0046702C" w:rsidRDefault="0046702C" w:rsidP="0046702C">
            <w:pPr>
              <w:rPr>
                <w:rFonts w:ascii="Century Gothic" w:eastAsia="Calibri" w:hAnsi="Century Gothic" w:cs="Times New Roman"/>
                <w:color w:val="538135"/>
                <w:kern w:val="2"/>
                <w:sz w:val="20"/>
                <w:szCs w:val="20"/>
              </w:rPr>
            </w:pPr>
            <w:r w:rsidRPr="0046702C">
              <w:rPr>
                <w:rFonts w:ascii="Century Gothic" w:eastAsia="Calibri" w:hAnsi="Century Gothic" w:cs="Times New Roman"/>
                <w:color w:val="538135"/>
                <w:kern w:val="2"/>
                <w:sz w:val="20"/>
                <w:szCs w:val="20"/>
              </w:rPr>
              <w:t>01/12/23</w:t>
            </w:r>
          </w:p>
        </w:tc>
      </w:tr>
      <w:tr w:rsidR="0046702C" w:rsidRPr="0046702C" w14:paraId="4D7B44F5" w14:textId="77777777" w:rsidTr="00822ABA">
        <w:tc>
          <w:tcPr>
            <w:tcW w:w="2260" w:type="dxa"/>
            <w:shd w:val="clear" w:color="auto" w:fill="auto"/>
          </w:tcPr>
          <w:p w14:paraId="38FE6F11" w14:textId="77777777" w:rsidR="0046702C" w:rsidRPr="0046702C" w:rsidRDefault="0046702C" w:rsidP="0046702C">
            <w:pPr>
              <w:rPr>
                <w:rFonts w:ascii="Century Gothic" w:eastAsia="Calibri" w:hAnsi="Century Gothic" w:cs="Times New Roman"/>
                <w:bCs/>
                <w:color w:val="538135"/>
                <w:kern w:val="2"/>
                <w:sz w:val="20"/>
                <w:szCs w:val="20"/>
              </w:rPr>
            </w:pPr>
            <w:r w:rsidRPr="0046702C">
              <w:rPr>
                <w:rFonts w:ascii="Century Gothic" w:eastAsia="Calibri" w:hAnsi="Century Gothic" w:cs="Times New Roman"/>
                <w:bCs/>
                <w:color w:val="538135"/>
                <w:kern w:val="2"/>
                <w:sz w:val="20"/>
                <w:szCs w:val="20"/>
              </w:rPr>
              <w:t>Review Cycle</w:t>
            </w:r>
          </w:p>
        </w:tc>
        <w:tc>
          <w:tcPr>
            <w:tcW w:w="1976" w:type="dxa"/>
            <w:shd w:val="clear" w:color="auto" w:fill="auto"/>
          </w:tcPr>
          <w:p w14:paraId="13F7B99E" w14:textId="77777777" w:rsidR="0046702C" w:rsidRPr="0046702C" w:rsidRDefault="0046702C" w:rsidP="0046702C">
            <w:pPr>
              <w:rPr>
                <w:rFonts w:ascii="Century Gothic" w:eastAsia="Calibri" w:hAnsi="Century Gothic" w:cs="Times New Roman"/>
                <w:color w:val="538135"/>
                <w:kern w:val="2"/>
                <w:sz w:val="20"/>
                <w:szCs w:val="20"/>
              </w:rPr>
            </w:pPr>
            <w:r w:rsidRPr="0046702C">
              <w:rPr>
                <w:rFonts w:ascii="Century Gothic" w:eastAsia="Calibri" w:hAnsi="Century Gothic" w:cs="Times New Roman"/>
                <w:color w:val="538135"/>
                <w:kern w:val="2"/>
                <w:sz w:val="20"/>
                <w:szCs w:val="20"/>
              </w:rPr>
              <w:t xml:space="preserve">Annually </w:t>
            </w:r>
          </w:p>
        </w:tc>
        <w:tc>
          <w:tcPr>
            <w:tcW w:w="933" w:type="dxa"/>
            <w:shd w:val="clear" w:color="auto" w:fill="auto"/>
          </w:tcPr>
          <w:p w14:paraId="21989F18" w14:textId="77777777" w:rsidR="0046702C" w:rsidRPr="0046702C" w:rsidRDefault="0046702C" w:rsidP="0046702C">
            <w:pPr>
              <w:rPr>
                <w:rFonts w:ascii="Century Gothic" w:eastAsia="Calibri" w:hAnsi="Century Gothic" w:cs="Times New Roman"/>
                <w:bCs/>
                <w:color w:val="538135"/>
                <w:kern w:val="2"/>
                <w:sz w:val="20"/>
                <w:szCs w:val="20"/>
              </w:rPr>
            </w:pPr>
            <w:r w:rsidRPr="0046702C">
              <w:rPr>
                <w:rFonts w:ascii="Century Gothic" w:eastAsia="Calibri" w:hAnsi="Century Gothic" w:cs="Times New Roman"/>
                <w:bCs/>
                <w:color w:val="538135"/>
                <w:kern w:val="2"/>
                <w:sz w:val="20"/>
                <w:szCs w:val="20"/>
              </w:rPr>
              <w:t>Owner</w:t>
            </w:r>
          </w:p>
        </w:tc>
        <w:tc>
          <w:tcPr>
            <w:tcW w:w="1630" w:type="dxa"/>
            <w:shd w:val="clear" w:color="auto" w:fill="auto"/>
          </w:tcPr>
          <w:p w14:paraId="771C1423" w14:textId="77777777" w:rsidR="0046702C" w:rsidRPr="0046702C" w:rsidRDefault="0046702C" w:rsidP="0046702C">
            <w:pPr>
              <w:rPr>
                <w:rFonts w:ascii="Century Gothic" w:eastAsia="Calibri" w:hAnsi="Century Gothic" w:cs="Times New Roman"/>
                <w:color w:val="538135"/>
                <w:kern w:val="2"/>
                <w:sz w:val="20"/>
                <w:szCs w:val="20"/>
              </w:rPr>
            </w:pPr>
            <w:r w:rsidRPr="0046702C">
              <w:rPr>
                <w:rFonts w:ascii="Century Gothic" w:eastAsia="Calibri" w:hAnsi="Century Gothic" w:cs="Times New Roman"/>
                <w:color w:val="538135"/>
                <w:kern w:val="2"/>
                <w:sz w:val="20"/>
                <w:szCs w:val="20"/>
              </w:rPr>
              <w:t xml:space="preserve">CEO </w:t>
            </w:r>
          </w:p>
        </w:tc>
        <w:tc>
          <w:tcPr>
            <w:tcW w:w="2091" w:type="dxa"/>
            <w:shd w:val="clear" w:color="auto" w:fill="auto"/>
          </w:tcPr>
          <w:p w14:paraId="0B3D7A4E" w14:textId="77777777" w:rsidR="0046702C" w:rsidRPr="0046702C" w:rsidRDefault="0046702C" w:rsidP="0046702C">
            <w:pPr>
              <w:rPr>
                <w:rFonts w:ascii="Century Gothic" w:eastAsia="Calibri" w:hAnsi="Century Gothic" w:cs="Times New Roman"/>
                <w:bCs/>
                <w:color w:val="538135"/>
                <w:kern w:val="2"/>
                <w:sz w:val="20"/>
                <w:szCs w:val="20"/>
              </w:rPr>
            </w:pPr>
            <w:r w:rsidRPr="0046702C">
              <w:rPr>
                <w:rFonts w:ascii="Century Gothic" w:eastAsia="Calibri" w:hAnsi="Century Gothic" w:cs="Times New Roman"/>
                <w:bCs/>
                <w:color w:val="538135"/>
                <w:kern w:val="2"/>
                <w:sz w:val="20"/>
                <w:szCs w:val="20"/>
              </w:rPr>
              <w:t>Approval Body</w:t>
            </w:r>
          </w:p>
        </w:tc>
        <w:tc>
          <w:tcPr>
            <w:tcW w:w="1566" w:type="dxa"/>
            <w:shd w:val="clear" w:color="auto" w:fill="auto"/>
          </w:tcPr>
          <w:p w14:paraId="5089B1EA" w14:textId="77777777" w:rsidR="0046702C" w:rsidRPr="0046702C" w:rsidRDefault="0046702C" w:rsidP="0046702C">
            <w:pPr>
              <w:rPr>
                <w:rFonts w:ascii="Century Gothic" w:eastAsia="Calibri" w:hAnsi="Century Gothic" w:cs="Times New Roman"/>
                <w:color w:val="538135"/>
                <w:kern w:val="2"/>
                <w:sz w:val="20"/>
                <w:szCs w:val="20"/>
              </w:rPr>
            </w:pPr>
            <w:r w:rsidRPr="0046702C">
              <w:rPr>
                <w:rFonts w:ascii="Century Gothic" w:eastAsia="Calibri" w:hAnsi="Century Gothic" w:cs="Times New Roman"/>
                <w:color w:val="538135"/>
                <w:kern w:val="2"/>
                <w:sz w:val="20"/>
                <w:szCs w:val="20"/>
              </w:rPr>
              <w:t>Trust Board</w:t>
            </w:r>
          </w:p>
        </w:tc>
      </w:tr>
    </w:tbl>
    <w:p w14:paraId="543CF722" w14:textId="41E1C23F" w:rsidR="000B30F7" w:rsidRPr="0046702C" w:rsidRDefault="000B30F7" w:rsidP="002E1D87">
      <w:pPr>
        <w:pStyle w:val="EPMTextindent2"/>
        <w:ind w:left="0" w:firstLine="0"/>
        <w:rPr>
          <w:rFonts w:ascii="Century Gothic" w:hAnsi="Century Gothic"/>
          <w:color w:val="538135" w:themeColor="accent6" w:themeShade="BF"/>
        </w:rPr>
        <w:sectPr w:rsidR="000B30F7" w:rsidRPr="0046702C" w:rsidSect="002E1D87">
          <w:headerReference w:type="default" r:id="rId16"/>
          <w:footerReference w:type="default" r:id="rId17"/>
          <w:pgSz w:w="11906" w:h="16838"/>
          <w:pgMar w:top="720" w:right="720" w:bottom="720" w:left="720" w:header="709" w:footer="283" w:gutter="0"/>
          <w:cols w:space="708"/>
          <w:docGrid w:linePitch="360"/>
        </w:sectPr>
      </w:pPr>
    </w:p>
    <w:p w14:paraId="14AD41CD" w14:textId="77777777" w:rsidR="00165C75" w:rsidRPr="0046702C" w:rsidRDefault="00165C75" w:rsidP="00165C75">
      <w:pPr>
        <w:pStyle w:val="EPMPageHeading"/>
        <w:rPr>
          <w:rFonts w:ascii="Century Gothic" w:hAnsi="Century Gothic"/>
          <w:color w:val="538135" w:themeColor="accent6" w:themeShade="BF"/>
        </w:rPr>
      </w:pPr>
      <w:bookmarkStart w:id="70" w:name="_Toc492546249"/>
      <w:bookmarkStart w:id="71" w:name="_Toc113805057"/>
      <w:bookmarkStart w:id="72" w:name="_Toc21097713"/>
      <w:bookmarkStart w:id="73" w:name="_Toc118383130"/>
      <w:bookmarkStart w:id="74" w:name="_Toc129872998"/>
      <w:r w:rsidRPr="0046702C">
        <w:rPr>
          <w:rFonts w:ascii="Century Gothic" w:hAnsi="Century Gothic"/>
          <w:color w:val="538135" w:themeColor="accent6" w:themeShade="BF"/>
        </w:rPr>
        <w:lastRenderedPageBreak/>
        <w:t>Annex A</w:t>
      </w:r>
      <w:bookmarkEnd w:id="70"/>
      <w:bookmarkEnd w:id="71"/>
      <w:r w:rsidRPr="0046702C">
        <w:rPr>
          <w:rFonts w:ascii="Century Gothic" w:hAnsi="Century Gothic"/>
          <w:color w:val="538135" w:themeColor="accent6" w:themeShade="BF"/>
        </w:rPr>
        <w:t>: Procedure for a Review of a Salary Determination by the Review Committee of the Pay Body</w:t>
      </w:r>
      <w:bookmarkEnd w:id="72"/>
      <w:bookmarkEnd w:id="73"/>
      <w:bookmarkEnd w:id="74"/>
    </w:p>
    <w:p w14:paraId="1518F5A7" w14:textId="77777777" w:rsidR="00B121CB" w:rsidRPr="0046702C" w:rsidRDefault="00B121CB" w:rsidP="00B121CB">
      <w:pPr>
        <w:pStyle w:val="EPMTextstyle"/>
        <w:rPr>
          <w:rFonts w:ascii="Century Gothic" w:hAnsi="Century Gothic"/>
          <w:color w:val="538135" w:themeColor="accent6" w:themeShade="BF"/>
        </w:rPr>
      </w:pPr>
      <w:r w:rsidRPr="0046702C">
        <w:rPr>
          <w:rFonts w:ascii="Century Gothic" w:hAnsi="Century Gothic"/>
          <w:color w:val="538135" w:themeColor="accent6" w:themeShade="BF"/>
        </w:rPr>
        <w:t>This procedure complies with the guidance of the Secretary of State ‘Implementing your School’s Approach to Pay’.</w:t>
      </w:r>
    </w:p>
    <w:p w14:paraId="31173B97" w14:textId="77777777" w:rsidR="00EF75EA" w:rsidRPr="0046702C" w:rsidRDefault="00EF75EA" w:rsidP="004E65E9">
      <w:pPr>
        <w:pStyle w:val="EPMNumberedHeading"/>
        <w:numPr>
          <w:ilvl w:val="0"/>
          <w:numId w:val="25"/>
        </w:numPr>
        <w:ind w:left="567" w:hanging="567"/>
        <w:rPr>
          <w:rFonts w:ascii="Century Gothic" w:hAnsi="Century Gothic"/>
          <w:color w:val="538135" w:themeColor="accent6" w:themeShade="BF"/>
        </w:rPr>
      </w:pPr>
      <w:bookmarkStart w:id="75" w:name="_Toc492546251"/>
      <w:bookmarkStart w:id="76" w:name="_Toc21087910"/>
      <w:bookmarkStart w:id="77" w:name="_Toc21097476"/>
      <w:bookmarkStart w:id="78" w:name="_Toc21097714"/>
      <w:bookmarkStart w:id="79" w:name="_Toc118383131"/>
      <w:bookmarkStart w:id="80" w:name="_Toc129872999"/>
      <w:r w:rsidRPr="0046702C">
        <w:rPr>
          <w:rFonts w:ascii="Century Gothic" w:hAnsi="Century Gothic"/>
          <w:color w:val="538135" w:themeColor="accent6" w:themeShade="BF"/>
        </w:rPr>
        <w:t>Case for the Employee</w:t>
      </w:r>
      <w:bookmarkEnd w:id="75"/>
      <w:bookmarkEnd w:id="76"/>
      <w:bookmarkEnd w:id="77"/>
      <w:bookmarkEnd w:id="78"/>
      <w:bookmarkEnd w:id="79"/>
      <w:bookmarkEnd w:id="80"/>
    </w:p>
    <w:p w14:paraId="6355CB6C" w14:textId="77777777" w:rsidR="00EF75EA" w:rsidRPr="0046702C" w:rsidRDefault="00EF75EA" w:rsidP="00EF75EA">
      <w:pPr>
        <w:pStyle w:val="EPMTextindent1"/>
        <w:rPr>
          <w:rFonts w:ascii="Century Gothic" w:hAnsi="Century Gothic"/>
          <w:color w:val="538135" w:themeColor="accent6" w:themeShade="BF"/>
        </w:rPr>
      </w:pPr>
      <w:r w:rsidRPr="0046702C">
        <w:rPr>
          <w:rFonts w:ascii="Century Gothic" w:hAnsi="Century Gothic"/>
          <w:color w:val="538135" w:themeColor="accent6" w:themeShade="BF"/>
        </w:rPr>
        <w:t>The employee is entitled to be accompanied by a representative of their trade union or a workplace colleague.</w:t>
      </w:r>
    </w:p>
    <w:p w14:paraId="6D69D795" w14:textId="77777777" w:rsidR="00EF75EA" w:rsidRPr="0046702C" w:rsidRDefault="00EF75EA" w:rsidP="00EF75EA">
      <w:pPr>
        <w:pStyle w:val="EPMTextindent1"/>
        <w:rPr>
          <w:rFonts w:ascii="Century Gothic" w:hAnsi="Century Gothic"/>
          <w:color w:val="538135" w:themeColor="accent6" w:themeShade="BF"/>
        </w:rPr>
      </w:pPr>
      <w:r w:rsidRPr="0046702C">
        <w:rPr>
          <w:rFonts w:ascii="Century Gothic" w:hAnsi="Century Gothic"/>
          <w:color w:val="538135" w:themeColor="accent6" w:themeShade="BF"/>
        </w:rPr>
        <w:t>The employee or representative:</w:t>
      </w:r>
    </w:p>
    <w:p w14:paraId="108057CF" w14:textId="77777777" w:rsidR="00EF75EA" w:rsidRPr="0046702C" w:rsidRDefault="00EF75EA" w:rsidP="00EF75EA">
      <w:pPr>
        <w:pStyle w:val="EPMTextindent1"/>
        <w:numPr>
          <w:ilvl w:val="0"/>
          <w:numId w:val="26"/>
        </w:numPr>
        <w:tabs>
          <w:tab w:val="clear" w:pos="284"/>
          <w:tab w:val="clear" w:pos="567"/>
          <w:tab w:val="clear" w:pos="851"/>
          <w:tab w:val="left" w:pos="993"/>
          <w:tab w:val="left" w:pos="1276"/>
        </w:tabs>
        <w:ind w:left="1276" w:hanging="709"/>
        <w:rPr>
          <w:rFonts w:ascii="Century Gothic" w:hAnsi="Century Gothic"/>
          <w:color w:val="538135" w:themeColor="accent6" w:themeShade="BF"/>
        </w:rPr>
      </w:pPr>
      <w:r w:rsidRPr="0046702C">
        <w:rPr>
          <w:rFonts w:ascii="Century Gothic" w:hAnsi="Century Gothic"/>
          <w:color w:val="538135" w:themeColor="accent6" w:themeShade="BF"/>
        </w:rPr>
        <w:t>Presents the employee’s written application for review.</w:t>
      </w:r>
    </w:p>
    <w:p w14:paraId="26B54A3C" w14:textId="77777777" w:rsidR="00EF75EA" w:rsidRPr="0046702C" w:rsidRDefault="00EF75EA" w:rsidP="00EF75EA">
      <w:pPr>
        <w:pStyle w:val="EPMTextindent1"/>
        <w:numPr>
          <w:ilvl w:val="0"/>
          <w:numId w:val="26"/>
        </w:numPr>
        <w:tabs>
          <w:tab w:val="clear" w:pos="284"/>
          <w:tab w:val="clear" w:pos="567"/>
          <w:tab w:val="clear" w:pos="851"/>
          <w:tab w:val="left" w:pos="993"/>
          <w:tab w:val="left" w:pos="1276"/>
        </w:tabs>
        <w:ind w:left="1276" w:hanging="709"/>
        <w:rPr>
          <w:rFonts w:ascii="Century Gothic" w:hAnsi="Century Gothic"/>
          <w:color w:val="538135" w:themeColor="accent6" w:themeShade="BF"/>
        </w:rPr>
      </w:pPr>
      <w:r w:rsidRPr="0046702C">
        <w:rPr>
          <w:rFonts w:ascii="Century Gothic" w:hAnsi="Century Gothic"/>
          <w:color w:val="538135" w:themeColor="accent6" w:themeShade="BF"/>
        </w:rPr>
        <w:t>The members of the Review Committee may ask questions of the employee.</w:t>
      </w:r>
    </w:p>
    <w:p w14:paraId="2E36E98B" w14:textId="77777777" w:rsidR="00D75B7B" w:rsidRPr="0046702C" w:rsidRDefault="00D75B7B" w:rsidP="008A5238">
      <w:pPr>
        <w:pStyle w:val="EPMNumberedHeading"/>
        <w:ind w:left="567" w:hanging="567"/>
        <w:rPr>
          <w:rFonts w:ascii="Century Gothic" w:hAnsi="Century Gothic"/>
          <w:color w:val="538135" w:themeColor="accent6" w:themeShade="BF"/>
        </w:rPr>
      </w:pPr>
      <w:bookmarkStart w:id="81" w:name="_Toc492546252"/>
      <w:bookmarkStart w:id="82" w:name="_Toc21087911"/>
      <w:bookmarkStart w:id="83" w:name="_Toc21097477"/>
      <w:bookmarkStart w:id="84" w:name="_Toc21097715"/>
      <w:bookmarkStart w:id="85" w:name="_Toc118383132"/>
      <w:bookmarkStart w:id="86" w:name="_Toc129873000"/>
      <w:r w:rsidRPr="0046702C">
        <w:rPr>
          <w:rFonts w:ascii="Century Gothic" w:hAnsi="Century Gothic"/>
          <w:color w:val="538135" w:themeColor="accent6" w:themeShade="BF"/>
        </w:rPr>
        <w:t>The Chair of the Review Committee:</w:t>
      </w:r>
      <w:bookmarkEnd w:id="81"/>
      <w:bookmarkEnd w:id="82"/>
      <w:bookmarkEnd w:id="83"/>
      <w:bookmarkEnd w:id="84"/>
      <w:bookmarkEnd w:id="85"/>
      <w:bookmarkEnd w:id="86"/>
    </w:p>
    <w:p w14:paraId="0BAA35E4" w14:textId="77777777" w:rsidR="00D75B7B" w:rsidRPr="0046702C" w:rsidRDefault="00D75B7B" w:rsidP="008A5238">
      <w:pPr>
        <w:pStyle w:val="EPMTextindent1"/>
        <w:numPr>
          <w:ilvl w:val="0"/>
          <w:numId w:val="28"/>
        </w:numPr>
        <w:tabs>
          <w:tab w:val="clear" w:pos="284"/>
          <w:tab w:val="clear" w:pos="567"/>
          <w:tab w:val="clear" w:pos="851"/>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Explains the process and evidence used to come to the recommendation/decision under review with reference to the written statement of reasons for the recommendation/decision previously provided to the employee.</w:t>
      </w:r>
    </w:p>
    <w:p w14:paraId="1BE22EBE" w14:textId="77777777" w:rsidR="00D75B7B" w:rsidRPr="0046702C" w:rsidRDefault="00D75B7B" w:rsidP="008A5238">
      <w:pPr>
        <w:pStyle w:val="EPMTextindent1"/>
        <w:numPr>
          <w:ilvl w:val="0"/>
          <w:numId w:val="28"/>
        </w:numPr>
        <w:tabs>
          <w:tab w:val="clear" w:pos="284"/>
          <w:tab w:val="clear" w:pos="567"/>
          <w:tab w:val="clear" w:pos="851"/>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If the Review Committee has asked the Headteacher (or a governor as referred to in note 3 below) to be present at the hearing the Headteacher (or governor) may be asked questions by members of the Review Committee, and the employee or representative.</w:t>
      </w:r>
    </w:p>
    <w:p w14:paraId="133B2F85" w14:textId="77777777" w:rsidR="00282E4A" w:rsidRPr="0046702C" w:rsidRDefault="00282E4A" w:rsidP="00F753B8">
      <w:pPr>
        <w:pStyle w:val="EPMNumberedHeading"/>
        <w:ind w:left="567" w:hanging="567"/>
        <w:rPr>
          <w:rFonts w:ascii="Century Gothic" w:hAnsi="Century Gothic"/>
          <w:color w:val="538135" w:themeColor="accent6" w:themeShade="BF"/>
        </w:rPr>
      </w:pPr>
      <w:bookmarkStart w:id="87" w:name="_Toc492546253"/>
      <w:bookmarkStart w:id="88" w:name="_Toc21087912"/>
      <w:bookmarkStart w:id="89" w:name="_Toc21097478"/>
      <w:bookmarkStart w:id="90" w:name="_Toc21097716"/>
      <w:bookmarkStart w:id="91" w:name="_Toc118383133"/>
      <w:bookmarkStart w:id="92" w:name="_Toc129873001"/>
      <w:r w:rsidRPr="0046702C">
        <w:rPr>
          <w:rFonts w:ascii="Century Gothic" w:hAnsi="Century Gothic"/>
          <w:color w:val="538135" w:themeColor="accent6" w:themeShade="BF"/>
        </w:rPr>
        <w:t>Summing Up and Withdrawal</w:t>
      </w:r>
      <w:bookmarkEnd w:id="87"/>
      <w:bookmarkEnd w:id="88"/>
      <w:bookmarkEnd w:id="89"/>
      <w:bookmarkEnd w:id="90"/>
      <w:bookmarkEnd w:id="91"/>
      <w:bookmarkEnd w:id="92"/>
    </w:p>
    <w:p w14:paraId="609AB311" w14:textId="77777777" w:rsidR="00282E4A" w:rsidRPr="0046702C" w:rsidRDefault="00282E4A" w:rsidP="00F753B8">
      <w:pPr>
        <w:pStyle w:val="EPMTextindent1"/>
        <w:numPr>
          <w:ilvl w:val="0"/>
          <w:numId w:val="30"/>
        </w:numPr>
        <w:tabs>
          <w:tab w:val="clear" w:pos="284"/>
          <w:tab w:val="clear" w:pos="567"/>
          <w:tab w:val="clear" w:pos="851"/>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The employee, or representative, has the opportunity, to sum up, their case if they so wish.</w:t>
      </w:r>
    </w:p>
    <w:p w14:paraId="29D48465" w14:textId="77777777" w:rsidR="00282E4A" w:rsidRPr="0046702C" w:rsidRDefault="00282E4A" w:rsidP="004E65E9">
      <w:pPr>
        <w:pStyle w:val="EPMTextindent1"/>
        <w:numPr>
          <w:ilvl w:val="0"/>
          <w:numId w:val="30"/>
        </w:numPr>
        <w:tabs>
          <w:tab w:val="clear" w:pos="284"/>
          <w:tab w:val="clear" w:pos="567"/>
          <w:tab w:val="clear" w:pos="851"/>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All persons other than the members of the Review Committee and the adviser (See note 5 below) are then required to withdraw.</w:t>
      </w:r>
    </w:p>
    <w:p w14:paraId="19D91063" w14:textId="77777777" w:rsidR="00C07102" w:rsidRPr="0046702C" w:rsidRDefault="00C07102" w:rsidP="00C07102">
      <w:pPr>
        <w:pStyle w:val="EPMNumberedHeading"/>
        <w:ind w:left="567" w:hanging="567"/>
        <w:rPr>
          <w:rFonts w:ascii="Century Gothic" w:hAnsi="Century Gothic"/>
          <w:color w:val="538135" w:themeColor="accent6" w:themeShade="BF"/>
        </w:rPr>
      </w:pPr>
      <w:bookmarkStart w:id="93" w:name="_Toc492546254"/>
      <w:bookmarkStart w:id="94" w:name="_Toc21087913"/>
      <w:bookmarkStart w:id="95" w:name="_Toc21097479"/>
      <w:bookmarkStart w:id="96" w:name="_Toc21097717"/>
      <w:bookmarkStart w:id="97" w:name="_Toc118383134"/>
      <w:bookmarkStart w:id="98" w:name="_Toc129873002"/>
      <w:r w:rsidRPr="0046702C">
        <w:rPr>
          <w:rFonts w:ascii="Century Gothic" w:hAnsi="Century Gothic"/>
          <w:color w:val="538135" w:themeColor="accent6" w:themeShade="BF"/>
        </w:rPr>
        <w:t>Review Committee Decision</w:t>
      </w:r>
      <w:bookmarkEnd w:id="93"/>
      <w:bookmarkEnd w:id="94"/>
      <w:bookmarkEnd w:id="95"/>
      <w:bookmarkEnd w:id="96"/>
      <w:bookmarkEnd w:id="97"/>
      <w:bookmarkEnd w:id="98"/>
    </w:p>
    <w:p w14:paraId="37566235" w14:textId="77777777" w:rsidR="00C07102" w:rsidRPr="0046702C" w:rsidRDefault="00C07102" w:rsidP="00C07102">
      <w:pPr>
        <w:pStyle w:val="EPMTextindent1"/>
        <w:numPr>
          <w:ilvl w:val="0"/>
          <w:numId w:val="32"/>
        </w:numPr>
        <w:tabs>
          <w:tab w:val="clear" w:pos="284"/>
          <w:tab w:val="clear" w:pos="567"/>
          <w:tab w:val="clear" w:pos="851"/>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The Review Committee and the person who is advising, (other than the Headteacher or a governor) are to deliberate in private, only recalling other persons to clear points of uncertainty on evidence already given. Any recall will involve both parties.</w:t>
      </w:r>
    </w:p>
    <w:p w14:paraId="08026698" w14:textId="77777777" w:rsidR="00C07102" w:rsidRPr="0046702C" w:rsidRDefault="00C07102" w:rsidP="00C07102">
      <w:pPr>
        <w:pStyle w:val="EPMTextindent1"/>
        <w:numPr>
          <w:ilvl w:val="0"/>
          <w:numId w:val="32"/>
        </w:numPr>
        <w:tabs>
          <w:tab w:val="clear" w:pos="284"/>
          <w:tab w:val="clear" w:pos="567"/>
          <w:tab w:val="clear" w:pos="851"/>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The Chair of the Review Committee will announce the decision of the review to the employee, which will be confirmed in writing within five working days.</w:t>
      </w:r>
    </w:p>
    <w:p w14:paraId="68E5DE34" w14:textId="51313C11" w:rsidR="002D0DF3" w:rsidRPr="0046702C" w:rsidRDefault="002D0DF3">
      <w:pPr>
        <w:rPr>
          <w:rFonts w:ascii="Century Gothic" w:hAnsi="Century Gothic" w:cs="Arial"/>
          <w:color w:val="538135" w:themeColor="accent6" w:themeShade="BF"/>
          <w:sz w:val="21"/>
          <w:szCs w:val="20"/>
        </w:rPr>
      </w:pPr>
      <w:r w:rsidRPr="0046702C">
        <w:rPr>
          <w:rFonts w:ascii="Century Gothic" w:hAnsi="Century Gothic"/>
          <w:color w:val="538135" w:themeColor="accent6" w:themeShade="BF"/>
        </w:rPr>
        <w:br w:type="page"/>
      </w:r>
    </w:p>
    <w:p w14:paraId="3EAE2D83" w14:textId="77777777" w:rsidR="009F090E" w:rsidRPr="0046702C" w:rsidRDefault="009F090E" w:rsidP="009F090E">
      <w:pPr>
        <w:pStyle w:val="EPMSubheading"/>
        <w:rPr>
          <w:rFonts w:ascii="Century Gothic" w:hAnsi="Century Gothic"/>
          <w:color w:val="538135" w:themeColor="accent6" w:themeShade="BF"/>
        </w:rPr>
      </w:pPr>
      <w:bookmarkStart w:id="99" w:name="_Toc492546255"/>
      <w:bookmarkStart w:id="100" w:name="_Toc21087914"/>
      <w:bookmarkStart w:id="101" w:name="_Toc21097480"/>
      <w:bookmarkStart w:id="102" w:name="_Toc21097718"/>
      <w:bookmarkStart w:id="103" w:name="_Toc118383135"/>
      <w:r w:rsidRPr="0046702C">
        <w:rPr>
          <w:rFonts w:ascii="Century Gothic" w:hAnsi="Century Gothic"/>
          <w:color w:val="538135" w:themeColor="accent6" w:themeShade="BF"/>
        </w:rPr>
        <w:lastRenderedPageBreak/>
        <w:t>Notes:</w:t>
      </w:r>
      <w:bookmarkEnd w:id="99"/>
      <w:bookmarkEnd w:id="100"/>
      <w:bookmarkEnd w:id="101"/>
      <w:bookmarkEnd w:id="102"/>
      <w:bookmarkEnd w:id="103"/>
    </w:p>
    <w:p w14:paraId="3B14CDE9" w14:textId="77777777" w:rsidR="009F090E" w:rsidRPr="0046702C" w:rsidRDefault="009F090E" w:rsidP="009F090E">
      <w:pPr>
        <w:pStyle w:val="Numbered"/>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For the purposes of the review, the Review Committee and the employee will have the following documents:</w:t>
      </w:r>
    </w:p>
    <w:p w14:paraId="282C3CE3" w14:textId="77777777" w:rsidR="009F090E" w:rsidRPr="0046702C" w:rsidRDefault="009F090E" w:rsidP="009F090E">
      <w:pPr>
        <w:pStyle w:val="EPMBullets"/>
        <w:tabs>
          <w:tab w:val="clear" w:pos="284"/>
          <w:tab w:val="clear" w:pos="567"/>
          <w:tab w:val="clear" w:pos="851"/>
          <w:tab w:val="left" w:pos="709"/>
        </w:tabs>
        <w:ind w:left="709" w:hanging="283"/>
        <w:rPr>
          <w:rFonts w:ascii="Century Gothic" w:hAnsi="Century Gothic"/>
          <w:color w:val="538135" w:themeColor="accent6" w:themeShade="BF"/>
        </w:rPr>
      </w:pPr>
      <w:r w:rsidRPr="0046702C">
        <w:rPr>
          <w:rFonts w:ascii="Century Gothic" w:hAnsi="Century Gothic"/>
          <w:color w:val="538135" w:themeColor="accent6" w:themeShade="BF"/>
        </w:rPr>
        <w:t>The written statement of reasons for the recommendation/decision previously provided to the employee.</w:t>
      </w:r>
    </w:p>
    <w:p w14:paraId="442890C1" w14:textId="77777777" w:rsidR="009F090E" w:rsidRPr="0046702C" w:rsidRDefault="009F090E" w:rsidP="009F090E">
      <w:pPr>
        <w:pStyle w:val="EPMBullets"/>
        <w:tabs>
          <w:tab w:val="clear" w:pos="284"/>
          <w:tab w:val="clear" w:pos="567"/>
          <w:tab w:val="clear" w:pos="851"/>
          <w:tab w:val="left" w:pos="709"/>
        </w:tabs>
        <w:ind w:left="709" w:hanging="283"/>
        <w:rPr>
          <w:rFonts w:ascii="Century Gothic" w:hAnsi="Century Gothic"/>
          <w:color w:val="538135" w:themeColor="accent6" w:themeShade="BF"/>
        </w:rPr>
      </w:pPr>
      <w:r w:rsidRPr="0046702C">
        <w:rPr>
          <w:rFonts w:ascii="Century Gothic" w:hAnsi="Century Gothic"/>
          <w:color w:val="538135" w:themeColor="accent6" w:themeShade="BF"/>
        </w:rPr>
        <w:t>The written statement of reasons for the application for the review from the employee. (The grounds for the appeal must comply with paragraph 2.8 of the pay policy).</w:t>
      </w:r>
    </w:p>
    <w:p w14:paraId="6346101B" w14:textId="77777777" w:rsidR="009F090E" w:rsidRPr="0046702C" w:rsidRDefault="009F090E" w:rsidP="009F090E">
      <w:pPr>
        <w:pStyle w:val="EPMBullets"/>
        <w:tabs>
          <w:tab w:val="clear" w:pos="284"/>
          <w:tab w:val="clear" w:pos="567"/>
          <w:tab w:val="clear" w:pos="851"/>
          <w:tab w:val="left" w:pos="709"/>
        </w:tabs>
        <w:ind w:left="709" w:hanging="283"/>
        <w:rPr>
          <w:rFonts w:ascii="Century Gothic" w:hAnsi="Century Gothic"/>
          <w:color w:val="538135" w:themeColor="accent6" w:themeShade="BF"/>
        </w:rPr>
      </w:pPr>
      <w:r w:rsidRPr="0046702C">
        <w:rPr>
          <w:rFonts w:ascii="Century Gothic" w:hAnsi="Century Gothic"/>
          <w:color w:val="538135" w:themeColor="accent6" w:themeShade="BF"/>
        </w:rPr>
        <w:t>Any additional documents to be used at the review hearing which must be provided to the other party at least 48 hours before the commencement of the hearing.</w:t>
      </w:r>
    </w:p>
    <w:p w14:paraId="33290353" w14:textId="77777777" w:rsidR="00401ABB" w:rsidRPr="0046702C" w:rsidRDefault="00401ABB" w:rsidP="00401ABB">
      <w:pPr>
        <w:pStyle w:val="Numbered"/>
        <w:rPr>
          <w:rFonts w:ascii="Century Gothic" w:hAnsi="Century Gothic" w:cs="Arial"/>
          <w:color w:val="538135" w:themeColor="accent6" w:themeShade="BF"/>
          <w:sz w:val="21"/>
          <w:szCs w:val="21"/>
        </w:rPr>
      </w:pPr>
      <w:r w:rsidRPr="0046702C">
        <w:rPr>
          <w:rFonts w:ascii="Century Gothic" w:hAnsi="Century Gothic" w:cs="Arial"/>
          <w:color w:val="538135" w:themeColor="accent6" w:themeShade="BF"/>
          <w:sz w:val="21"/>
          <w:szCs w:val="21"/>
        </w:rPr>
        <w:t xml:space="preserve">For the purposes of the review, the Review Committee may ask the Headteacher (or in accordance with note 3 below, a governor) to be present. In that event, the Headteacher (or governor) may also be asked questions by the members of the Review Committee and by the employee or their representative. The Headteacher (or governor) may </w:t>
      </w:r>
      <w:r w:rsidRPr="0046702C">
        <w:rPr>
          <w:rFonts w:ascii="Century Gothic" w:hAnsi="Century Gothic" w:cs="Arial"/>
          <w:b/>
          <w:color w:val="538135" w:themeColor="accent6" w:themeShade="BF"/>
          <w:sz w:val="21"/>
          <w:szCs w:val="21"/>
        </w:rPr>
        <w:t>not</w:t>
      </w:r>
      <w:r w:rsidRPr="0046702C">
        <w:rPr>
          <w:rFonts w:ascii="Century Gothic" w:hAnsi="Century Gothic" w:cs="Arial"/>
          <w:color w:val="538135" w:themeColor="accent6" w:themeShade="BF"/>
          <w:sz w:val="21"/>
          <w:szCs w:val="21"/>
        </w:rPr>
        <w:t xml:space="preserve"> be involved in the decision of the Review Committee.</w:t>
      </w:r>
    </w:p>
    <w:p w14:paraId="4771682F" w14:textId="77777777" w:rsidR="00401ABB" w:rsidRPr="0046702C" w:rsidRDefault="00401ABB" w:rsidP="00401ABB">
      <w:pPr>
        <w:pStyle w:val="Numbered"/>
        <w:rPr>
          <w:rFonts w:ascii="Century Gothic" w:hAnsi="Century Gothic" w:cs="Arial"/>
          <w:color w:val="538135" w:themeColor="accent6" w:themeShade="BF"/>
          <w:sz w:val="21"/>
          <w:szCs w:val="21"/>
        </w:rPr>
      </w:pPr>
      <w:r w:rsidRPr="0046702C">
        <w:rPr>
          <w:rFonts w:ascii="Century Gothic" w:hAnsi="Century Gothic" w:cs="Arial"/>
          <w:color w:val="538135" w:themeColor="accent6" w:themeShade="BF"/>
          <w:sz w:val="21"/>
          <w:szCs w:val="21"/>
        </w:rPr>
        <w:t>Where the Headteacher has asked for the review, the Review Committee may ask the Chair of the Pay Body or a representative of the governors referred to in 2.20 above to be present.</w:t>
      </w:r>
    </w:p>
    <w:p w14:paraId="64B6B587" w14:textId="77777777" w:rsidR="00401ABB" w:rsidRPr="0046702C" w:rsidRDefault="00401ABB" w:rsidP="00401ABB">
      <w:pPr>
        <w:pStyle w:val="Numbered"/>
        <w:rPr>
          <w:rFonts w:ascii="Century Gothic" w:hAnsi="Century Gothic" w:cs="Arial"/>
          <w:color w:val="538135" w:themeColor="accent6" w:themeShade="BF"/>
          <w:sz w:val="21"/>
          <w:szCs w:val="21"/>
        </w:rPr>
      </w:pPr>
      <w:r w:rsidRPr="0046702C">
        <w:rPr>
          <w:rFonts w:ascii="Century Gothic" w:hAnsi="Century Gothic" w:cs="Arial"/>
          <w:color w:val="538135" w:themeColor="accent6" w:themeShade="BF"/>
          <w:sz w:val="21"/>
          <w:szCs w:val="21"/>
        </w:rPr>
        <w:t>The Review Committee may have an adviser present.</w:t>
      </w:r>
    </w:p>
    <w:p w14:paraId="505EEFCE" w14:textId="77777777" w:rsidR="00401ABB" w:rsidRPr="0046702C" w:rsidRDefault="00401ABB" w:rsidP="00401ABB">
      <w:pPr>
        <w:pStyle w:val="Numbered"/>
        <w:rPr>
          <w:rFonts w:ascii="Century Gothic" w:hAnsi="Century Gothic" w:cs="Arial"/>
          <w:color w:val="538135" w:themeColor="accent6" w:themeShade="BF"/>
          <w:sz w:val="21"/>
          <w:szCs w:val="21"/>
        </w:rPr>
      </w:pPr>
      <w:r w:rsidRPr="0046702C">
        <w:rPr>
          <w:rFonts w:ascii="Century Gothic" w:hAnsi="Century Gothic" w:cs="Arial"/>
          <w:color w:val="538135" w:themeColor="accent6" w:themeShade="BF"/>
          <w:sz w:val="21"/>
          <w:szCs w:val="21"/>
        </w:rPr>
        <w:t>The review is not an appeal against the recommendation/decision.</w:t>
      </w:r>
    </w:p>
    <w:p w14:paraId="68DA3768" w14:textId="525334C7" w:rsidR="00451C10" w:rsidRPr="0046702C" w:rsidRDefault="00451C10">
      <w:pPr>
        <w:rPr>
          <w:rFonts w:ascii="Century Gothic" w:hAnsi="Century Gothic" w:cs="Arial"/>
          <w:color w:val="538135" w:themeColor="accent6" w:themeShade="BF"/>
          <w:sz w:val="21"/>
          <w:szCs w:val="20"/>
        </w:rPr>
      </w:pPr>
      <w:r w:rsidRPr="0046702C">
        <w:rPr>
          <w:rFonts w:ascii="Century Gothic" w:hAnsi="Century Gothic"/>
          <w:color w:val="538135" w:themeColor="accent6" w:themeShade="BF"/>
        </w:rPr>
        <w:br w:type="page"/>
      </w:r>
    </w:p>
    <w:p w14:paraId="5162E114" w14:textId="77777777" w:rsidR="001E5CB5" w:rsidRPr="0046702C" w:rsidRDefault="001E5CB5" w:rsidP="001E5CB5">
      <w:pPr>
        <w:pStyle w:val="EPMPageHeading"/>
        <w:rPr>
          <w:rFonts w:ascii="Century Gothic" w:hAnsi="Century Gothic"/>
          <w:color w:val="538135" w:themeColor="accent6" w:themeShade="BF"/>
        </w:rPr>
      </w:pPr>
      <w:bookmarkStart w:id="104" w:name="_Toc492546256"/>
      <w:bookmarkStart w:id="105" w:name="_Toc21097719"/>
      <w:bookmarkStart w:id="106" w:name="_Toc118383136"/>
      <w:bookmarkStart w:id="107" w:name="_Toc129873003"/>
      <w:r w:rsidRPr="0046702C">
        <w:rPr>
          <w:rFonts w:ascii="Century Gothic" w:hAnsi="Century Gothic"/>
          <w:color w:val="538135" w:themeColor="accent6" w:themeShade="BF"/>
        </w:rPr>
        <w:lastRenderedPageBreak/>
        <w:t>Annex B</w:t>
      </w:r>
      <w:bookmarkEnd w:id="104"/>
      <w:r w:rsidRPr="0046702C">
        <w:rPr>
          <w:rFonts w:ascii="Century Gothic" w:hAnsi="Century Gothic"/>
          <w:color w:val="538135" w:themeColor="accent6" w:themeShade="BF"/>
        </w:rPr>
        <w:t xml:space="preserve">: </w:t>
      </w:r>
      <w:bookmarkStart w:id="108" w:name="_Toc492546257"/>
      <w:bookmarkStart w:id="109" w:name="_Toc21087916"/>
      <w:r w:rsidRPr="0046702C">
        <w:rPr>
          <w:rFonts w:ascii="Century Gothic" w:hAnsi="Century Gothic"/>
          <w:color w:val="538135" w:themeColor="accent6" w:themeShade="BF"/>
        </w:rPr>
        <w:t>Procedure for an Appeal against a Salary Decision of the Review Committee to the Review Appeal Committee of the Pay Body</w:t>
      </w:r>
      <w:bookmarkEnd w:id="105"/>
      <w:bookmarkEnd w:id="106"/>
      <w:bookmarkEnd w:id="107"/>
      <w:bookmarkEnd w:id="108"/>
      <w:bookmarkEnd w:id="109"/>
    </w:p>
    <w:p w14:paraId="0DC7FA12" w14:textId="77777777" w:rsidR="00A80B30" w:rsidRPr="0046702C" w:rsidRDefault="00A80B30" w:rsidP="00A80B30">
      <w:pPr>
        <w:pStyle w:val="EPMTextstyle"/>
        <w:rPr>
          <w:rFonts w:ascii="Century Gothic" w:hAnsi="Century Gothic"/>
          <w:color w:val="538135" w:themeColor="accent6" w:themeShade="BF"/>
        </w:rPr>
      </w:pPr>
      <w:r w:rsidRPr="0046702C">
        <w:rPr>
          <w:rFonts w:ascii="Century Gothic" w:hAnsi="Century Gothic"/>
          <w:color w:val="538135" w:themeColor="accent6" w:themeShade="BF"/>
        </w:rPr>
        <w:t>This procedure complies with the guidance of the Secretary of State ‘Implementing your School’s Approach to Pay’.</w:t>
      </w:r>
    </w:p>
    <w:p w14:paraId="46523D08" w14:textId="77777777" w:rsidR="005E47AD" w:rsidRPr="0046702C" w:rsidRDefault="005E47AD" w:rsidP="005E47AD">
      <w:pPr>
        <w:pStyle w:val="EPMNumberedHeading"/>
        <w:numPr>
          <w:ilvl w:val="0"/>
          <w:numId w:val="35"/>
        </w:numPr>
        <w:ind w:left="567" w:hanging="567"/>
        <w:rPr>
          <w:rFonts w:ascii="Century Gothic" w:hAnsi="Century Gothic"/>
          <w:color w:val="538135" w:themeColor="accent6" w:themeShade="BF"/>
        </w:rPr>
      </w:pPr>
      <w:bookmarkStart w:id="110" w:name="_Toc21087917"/>
      <w:bookmarkStart w:id="111" w:name="_Toc21097482"/>
      <w:bookmarkStart w:id="112" w:name="_Toc21097720"/>
      <w:bookmarkStart w:id="113" w:name="_Toc118383137"/>
      <w:bookmarkStart w:id="114" w:name="_Toc129873004"/>
      <w:r w:rsidRPr="0046702C">
        <w:rPr>
          <w:rFonts w:ascii="Century Gothic" w:hAnsi="Century Gothic"/>
          <w:color w:val="538135" w:themeColor="accent6" w:themeShade="BF"/>
        </w:rPr>
        <w:t>The Appeal of the Employee</w:t>
      </w:r>
      <w:bookmarkEnd w:id="110"/>
      <w:bookmarkEnd w:id="111"/>
      <w:bookmarkEnd w:id="112"/>
      <w:bookmarkEnd w:id="113"/>
      <w:bookmarkEnd w:id="114"/>
    </w:p>
    <w:p w14:paraId="5BFC384B" w14:textId="77777777" w:rsidR="005E47AD" w:rsidRPr="0046702C" w:rsidRDefault="005E47AD" w:rsidP="005E47AD">
      <w:pPr>
        <w:pStyle w:val="EPMTextindent1"/>
        <w:rPr>
          <w:rFonts w:ascii="Century Gothic" w:hAnsi="Century Gothic"/>
          <w:color w:val="538135" w:themeColor="accent6" w:themeShade="BF"/>
        </w:rPr>
      </w:pPr>
      <w:r w:rsidRPr="0046702C">
        <w:rPr>
          <w:rFonts w:ascii="Century Gothic" w:hAnsi="Century Gothic"/>
          <w:color w:val="538135" w:themeColor="accent6" w:themeShade="BF"/>
        </w:rPr>
        <w:t>The employee is entitled to be accompanied by a representative of their trade union or a workplace colleague.</w:t>
      </w:r>
    </w:p>
    <w:p w14:paraId="76086DA9" w14:textId="77777777" w:rsidR="005E47AD" w:rsidRPr="0046702C" w:rsidRDefault="005E47AD" w:rsidP="005E47AD">
      <w:pPr>
        <w:pStyle w:val="EPMTextindent1"/>
        <w:rPr>
          <w:rFonts w:ascii="Century Gothic" w:hAnsi="Century Gothic"/>
          <w:color w:val="538135" w:themeColor="accent6" w:themeShade="BF"/>
        </w:rPr>
      </w:pPr>
      <w:r w:rsidRPr="0046702C">
        <w:rPr>
          <w:rFonts w:ascii="Century Gothic" w:hAnsi="Century Gothic"/>
          <w:color w:val="538135" w:themeColor="accent6" w:themeShade="BF"/>
        </w:rPr>
        <w:t>The employee or representative:</w:t>
      </w:r>
    </w:p>
    <w:p w14:paraId="3C63D31F" w14:textId="77777777" w:rsidR="005E47AD" w:rsidRPr="0046702C" w:rsidRDefault="005E47AD" w:rsidP="005E47AD">
      <w:pPr>
        <w:pStyle w:val="EPMTextindent1"/>
        <w:numPr>
          <w:ilvl w:val="0"/>
          <w:numId w:val="36"/>
        </w:numPr>
        <w:tabs>
          <w:tab w:val="clear" w:pos="851"/>
          <w:tab w:val="left" w:pos="993"/>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Introduces the employee’s written reasons for the appeal and the representative of the Review Committee and then members of the Review Appeal Committee may ask questions of the employee.</w:t>
      </w:r>
    </w:p>
    <w:p w14:paraId="5CA7274C" w14:textId="77777777" w:rsidR="005E47AD" w:rsidRPr="0046702C" w:rsidRDefault="005E47AD" w:rsidP="005E47AD">
      <w:pPr>
        <w:pStyle w:val="EPMTextindent1"/>
        <w:numPr>
          <w:ilvl w:val="0"/>
          <w:numId w:val="36"/>
        </w:numPr>
        <w:tabs>
          <w:tab w:val="clear" w:pos="851"/>
          <w:tab w:val="left" w:pos="993"/>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May call witnesses, each of whom will have provided a written statement of the information they wish to give, and each witness may be asked questions by the representative of the Review Committee and then by the Review Appeal Committee.</w:t>
      </w:r>
    </w:p>
    <w:p w14:paraId="2479F1F7" w14:textId="77777777" w:rsidR="00A00803" w:rsidRPr="0046702C" w:rsidRDefault="00A00803" w:rsidP="00A00803">
      <w:pPr>
        <w:pStyle w:val="EPMNumberedHeading"/>
        <w:ind w:left="567" w:hanging="567"/>
        <w:rPr>
          <w:rFonts w:ascii="Century Gothic" w:hAnsi="Century Gothic"/>
          <w:color w:val="538135" w:themeColor="accent6" w:themeShade="BF"/>
        </w:rPr>
      </w:pPr>
      <w:bookmarkStart w:id="115" w:name="_Toc21087918"/>
      <w:bookmarkStart w:id="116" w:name="_Toc21097483"/>
      <w:bookmarkStart w:id="117" w:name="_Toc21097721"/>
      <w:bookmarkStart w:id="118" w:name="_Toc118383138"/>
      <w:bookmarkStart w:id="119" w:name="_Toc129873005"/>
      <w:r w:rsidRPr="0046702C">
        <w:rPr>
          <w:rFonts w:ascii="Century Gothic" w:hAnsi="Century Gothic"/>
          <w:color w:val="538135" w:themeColor="accent6" w:themeShade="BF"/>
        </w:rPr>
        <w:t>The Response of the Review Committee</w:t>
      </w:r>
      <w:bookmarkEnd w:id="115"/>
      <w:bookmarkEnd w:id="116"/>
      <w:bookmarkEnd w:id="117"/>
      <w:bookmarkEnd w:id="118"/>
      <w:bookmarkEnd w:id="119"/>
    </w:p>
    <w:p w14:paraId="75445CDB" w14:textId="77777777" w:rsidR="00A00803" w:rsidRPr="0046702C" w:rsidRDefault="00A00803" w:rsidP="00A00803">
      <w:pPr>
        <w:pStyle w:val="EPMTextindent1"/>
        <w:rPr>
          <w:rFonts w:ascii="Century Gothic" w:hAnsi="Century Gothic"/>
          <w:color w:val="538135" w:themeColor="accent6" w:themeShade="BF"/>
        </w:rPr>
      </w:pPr>
      <w:r w:rsidRPr="0046702C">
        <w:rPr>
          <w:rFonts w:ascii="Century Gothic" w:hAnsi="Century Gothic"/>
          <w:color w:val="538135" w:themeColor="accent6" w:themeShade="BF"/>
        </w:rPr>
        <w:t>The representative of the Review Committee:</w:t>
      </w:r>
    </w:p>
    <w:p w14:paraId="5AAB2C60" w14:textId="77777777" w:rsidR="00A00803" w:rsidRPr="0046702C" w:rsidRDefault="00A00803" w:rsidP="00A00803">
      <w:pPr>
        <w:pStyle w:val="EPMTextindent1"/>
        <w:numPr>
          <w:ilvl w:val="0"/>
          <w:numId w:val="38"/>
        </w:numPr>
        <w:tabs>
          <w:tab w:val="clear" w:pos="284"/>
          <w:tab w:val="clear" w:pos="567"/>
          <w:tab w:val="clear" w:pos="851"/>
          <w:tab w:val="left" w:pos="993"/>
          <w:tab w:val="left" w:pos="1134"/>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Explains the process and evidence used to come to the decision being appealed with reference to the written statement of reasons for the decision of the Review Committee previously provided to the employee, and the employee or representative and then members of the Review Appeal Committee may ask questions of the representative of the Review Committee.</w:t>
      </w:r>
    </w:p>
    <w:p w14:paraId="73D25196" w14:textId="77777777" w:rsidR="00A00803" w:rsidRPr="0046702C" w:rsidRDefault="00A00803" w:rsidP="00A00803">
      <w:pPr>
        <w:pStyle w:val="EPMTextindent1"/>
        <w:numPr>
          <w:ilvl w:val="0"/>
          <w:numId w:val="38"/>
        </w:numPr>
        <w:tabs>
          <w:tab w:val="clear" w:pos="284"/>
          <w:tab w:val="clear" w:pos="567"/>
          <w:tab w:val="clear" w:pos="851"/>
          <w:tab w:val="left" w:pos="993"/>
          <w:tab w:val="left" w:pos="1134"/>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 xml:space="preserve">May call witnesses, who will have provided a written statement of the information they wish to give, and each witness may be asked questions by the employee or their representative and then by the Review Appeal Committee. </w:t>
      </w:r>
    </w:p>
    <w:p w14:paraId="3BC65214" w14:textId="77777777" w:rsidR="007C2D55" w:rsidRPr="0046702C" w:rsidRDefault="007C2D55" w:rsidP="007C2D55">
      <w:pPr>
        <w:pStyle w:val="EPMNumberedHeading"/>
        <w:ind w:left="567" w:hanging="567"/>
        <w:rPr>
          <w:rFonts w:ascii="Century Gothic" w:hAnsi="Century Gothic"/>
          <w:color w:val="538135" w:themeColor="accent6" w:themeShade="BF"/>
        </w:rPr>
      </w:pPr>
      <w:bookmarkStart w:id="120" w:name="_Toc21087919"/>
      <w:bookmarkStart w:id="121" w:name="_Toc21097484"/>
      <w:bookmarkStart w:id="122" w:name="_Toc21097722"/>
      <w:bookmarkStart w:id="123" w:name="_Toc118383139"/>
      <w:bookmarkStart w:id="124" w:name="_Toc129873006"/>
      <w:r w:rsidRPr="0046702C">
        <w:rPr>
          <w:rFonts w:ascii="Century Gothic" w:hAnsi="Century Gothic"/>
          <w:color w:val="538135" w:themeColor="accent6" w:themeShade="BF"/>
        </w:rPr>
        <w:t>Summing Up and Withdrawal</w:t>
      </w:r>
      <w:bookmarkEnd w:id="120"/>
      <w:bookmarkEnd w:id="121"/>
      <w:bookmarkEnd w:id="122"/>
      <w:bookmarkEnd w:id="123"/>
      <w:bookmarkEnd w:id="124"/>
    </w:p>
    <w:p w14:paraId="424798B1" w14:textId="77777777" w:rsidR="007C2D55" w:rsidRPr="0046702C" w:rsidRDefault="007C2D55" w:rsidP="007C2D55">
      <w:pPr>
        <w:pStyle w:val="EPMTextindent1"/>
        <w:numPr>
          <w:ilvl w:val="0"/>
          <w:numId w:val="41"/>
        </w:numPr>
        <w:tabs>
          <w:tab w:val="clear" w:pos="284"/>
          <w:tab w:val="clear" w:pos="567"/>
          <w:tab w:val="clear" w:pos="851"/>
          <w:tab w:val="left" w:pos="993"/>
          <w:tab w:val="left" w:pos="1134"/>
        </w:tabs>
        <w:ind w:hanging="720"/>
        <w:rPr>
          <w:rFonts w:ascii="Century Gothic" w:hAnsi="Century Gothic"/>
          <w:color w:val="538135" w:themeColor="accent6" w:themeShade="BF"/>
        </w:rPr>
      </w:pPr>
      <w:r w:rsidRPr="0046702C">
        <w:rPr>
          <w:rFonts w:ascii="Century Gothic" w:hAnsi="Century Gothic"/>
          <w:color w:val="538135" w:themeColor="accent6" w:themeShade="BF"/>
        </w:rPr>
        <w:t>The representative of the Review Committee has the opportunity, to sum up, if they so wish.</w:t>
      </w:r>
    </w:p>
    <w:p w14:paraId="4FB98675" w14:textId="77777777" w:rsidR="007C2D55" w:rsidRPr="0046702C" w:rsidRDefault="007C2D55" w:rsidP="007C2D55">
      <w:pPr>
        <w:pStyle w:val="EPMTextindent1"/>
        <w:numPr>
          <w:ilvl w:val="0"/>
          <w:numId w:val="41"/>
        </w:numPr>
        <w:tabs>
          <w:tab w:val="clear" w:pos="284"/>
          <w:tab w:val="clear" w:pos="567"/>
          <w:tab w:val="clear" w:pos="851"/>
          <w:tab w:val="left" w:pos="993"/>
          <w:tab w:val="left" w:pos="1134"/>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The employee, or representative, has the opportunity, to sum up, their case if they so wish.</w:t>
      </w:r>
    </w:p>
    <w:p w14:paraId="5D1C9646" w14:textId="66A3B3DF" w:rsidR="00C57F15" w:rsidRPr="0046702C" w:rsidRDefault="007C2D55" w:rsidP="007C2D55">
      <w:pPr>
        <w:pStyle w:val="EPMTextindent1"/>
        <w:numPr>
          <w:ilvl w:val="0"/>
          <w:numId w:val="41"/>
        </w:numPr>
        <w:tabs>
          <w:tab w:val="clear" w:pos="284"/>
          <w:tab w:val="clear" w:pos="567"/>
          <w:tab w:val="clear" w:pos="851"/>
          <w:tab w:val="left" w:pos="993"/>
          <w:tab w:val="left" w:pos="1134"/>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All persons other than the Review Appeal Committee and its adviser (see note 4 below) are then required to withdraw.</w:t>
      </w:r>
    </w:p>
    <w:p w14:paraId="777EDFDC" w14:textId="77777777" w:rsidR="00A300AF" w:rsidRPr="0046702C" w:rsidRDefault="00A300AF" w:rsidP="00A300AF">
      <w:pPr>
        <w:pStyle w:val="EPMNumberedHeading"/>
        <w:rPr>
          <w:rFonts w:ascii="Century Gothic" w:hAnsi="Century Gothic"/>
          <w:color w:val="538135" w:themeColor="accent6" w:themeShade="BF"/>
        </w:rPr>
      </w:pPr>
      <w:bookmarkStart w:id="125" w:name="_Toc21087920"/>
      <w:bookmarkStart w:id="126" w:name="_Toc21097485"/>
      <w:bookmarkStart w:id="127" w:name="_Toc21097723"/>
      <w:bookmarkStart w:id="128" w:name="_Toc118383140"/>
      <w:bookmarkStart w:id="129" w:name="_Toc129873007"/>
      <w:r w:rsidRPr="0046702C">
        <w:rPr>
          <w:rFonts w:ascii="Century Gothic" w:hAnsi="Century Gothic"/>
          <w:color w:val="538135" w:themeColor="accent6" w:themeShade="BF"/>
        </w:rPr>
        <w:t>Review Appeal Committee Decision</w:t>
      </w:r>
      <w:bookmarkEnd w:id="125"/>
      <w:bookmarkEnd w:id="126"/>
      <w:bookmarkEnd w:id="127"/>
      <w:bookmarkEnd w:id="128"/>
      <w:bookmarkEnd w:id="129"/>
    </w:p>
    <w:p w14:paraId="595EEC83" w14:textId="77777777" w:rsidR="00A300AF" w:rsidRPr="0046702C" w:rsidRDefault="00A300AF" w:rsidP="00A300AF">
      <w:pPr>
        <w:pStyle w:val="EPMTextindent1"/>
        <w:numPr>
          <w:ilvl w:val="0"/>
          <w:numId w:val="43"/>
        </w:numPr>
        <w:tabs>
          <w:tab w:val="clear" w:pos="284"/>
          <w:tab w:val="clear" w:pos="567"/>
          <w:tab w:val="clear" w:pos="851"/>
          <w:tab w:val="left" w:pos="993"/>
          <w:tab w:val="left" w:pos="1134"/>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t>The Review Appeal Committee and adviser are to deliberate in private, only recalling the parties to clear points of uncertainty on evidence already given. Any recall must involve both parties.</w:t>
      </w:r>
    </w:p>
    <w:p w14:paraId="29A44584" w14:textId="77777777" w:rsidR="00A300AF" w:rsidRPr="0046702C" w:rsidRDefault="00A300AF" w:rsidP="00A300AF">
      <w:pPr>
        <w:pStyle w:val="EPMTextindent1"/>
        <w:numPr>
          <w:ilvl w:val="0"/>
          <w:numId w:val="43"/>
        </w:numPr>
        <w:tabs>
          <w:tab w:val="clear" w:pos="284"/>
          <w:tab w:val="clear" w:pos="567"/>
          <w:tab w:val="clear" w:pos="851"/>
          <w:tab w:val="left" w:pos="993"/>
          <w:tab w:val="left" w:pos="1134"/>
        </w:tabs>
        <w:ind w:left="993" w:hanging="426"/>
        <w:rPr>
          <w:rFonts w:ascii="Century Gothic" w:hAnsi="Century Gothic"/>
          <w:color w:val="538135" w:themeColor="accent6" w:themeShade="BF"/>
        </w:rPr>
      </w:pPr>
      <w:r w:rsidRPr="0046702C">
        <w:rPr>
          <w:rFonts w:ascii="Century Gothic" w:hAnsi="Century Gothic"/>
          <w:color w:val="538135" w:themeColor="accent6" w:themeShade="BF"/>
        </w:rPr>
        <w:lastRenderedPageBreak/>
        <w:t>The Chair of the Review Appeal Committee will announce the decision to the employee, which will be confirmed in writing.</w:t>
      </w:r>
    </w:p>
    <w:p w14:paraId="2A318390" w14:textId="0D5C56CB" w:rsidR="00B60357" w:rsidRPr="0046702C" w:rsidRDefault="00B60357" w:rsidP="00AB5856">
      <w:pPr>
        <w:rPr>
          <w:rFonts w:ascii="Century Gothic" w:hAnsi="Century Gothic" w:cs="Arial"/>
          <w:b/>
          <w:bCs/>
          <w:color w:val="538135" w:themeColor="accent6" w:themeShade="BF"/>
          <w:sz w:val="21"/>
          <w:szCs w:val="20"/>
        </w:rPr>
      </w:pPr>
      <w:bookmarkStart w:id="130" w:name="_Toc21087921"/>
      <w:bookmarkStart w:id="131" w:name="_Toc21097486"/>
      <w:bookmarkStart w:id="132" w:name="_Toc21097724"/>
      <w:bookmarkStart w:id="133" w:name="_Toc118383141"/>
      <w:r w:rsidRPr="0046702C">
        <w:rPr>
          <w:rFonts w:ascii="Century Gothic" w:hAnsi="Century Gothic"/>
          <w:b/>
          <w:bCs/>
          <w:color w:val="538135" w:themeColor="accent6" w:themeShade="BF"/>
        </w:rPr>
        <w:t>Notes:</w:t>
      </w:r>
      <w:bookmarkEnd w:id="130"/>
      <w:bookmarkEnd w:id="131"/>
      <w:bookmarkEnd w:id="132"/>
      <w:bookmarkEnd w:id="133"/>
    </w:p>
    <w:p w14:paraId="4890E695" w14:textId="77777777" w:rsidR="00B60357" w:rsidRPr="0046702C" w:rsidRDefault="00B60357" w:rsidP="001D37CB">
      <w:pPr>
        <w:pStyle w:val="Numbered"/>
        <w:numPr>
          <w:ilvl w:val="0"/>
          <w:numId w:val="44"/>
        </w:numPr>
        <w:ind w:left="567" w:hanging="567"/>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For the purposes of the appeal, the Review Appeal Committee will have the following documents:</w:t>
      </w:r>
    </w:p>
    <w:p w14:paraId="5803C6D8" w14:textId="77777777" w:rsidR="00210F17" w:rsidRPr="0046702C" w:rsidRDefault="00210F17" w:rsidP="001D37CB">
      <w:pPr>
        <w:pStyle w:val="EPMBullets"/>
        <w:tabs>
          <w:tab w:val="clear" w:pos="284"/>
          <w:tab w:val="clear" w:pos="567"/>
          <w:tab w:val="clear" w:pos="851"/>
          <w:tab w:val="left" w:pos="1985"/>
        </w:tabs>
        <w:ind w:left="851" w:hanging="284"/>
        <w:rPr>
          <w:rFonts w:ascii="Century Gothic" w:hAnsi="Century Gothic"/>
          <w:color w:val="538135" w:themeColor="accent6" w:themeShade="BF"/>
        </w:rPr>
      </w:pPr>
      <w:r w:rsidRPr="0046702C">
        <w:rPr>
          <w:rFonts w:ascii="Century Gothic" w:hAnsi="Century Gothic"/>
          <w:color w:val="538135" w:themeColor="accent6" w:themeShade="BF"/>
        </w:rPr>
        <w:t>The written statement of reasons for the Review Committee decision was previously provided to the employee.</w:t>
      </w:r>
    </w:p>
    <w:p w14:paraId="23F04076" w14:textId="77777777" w:rsidR="00210F17" w:rsidRPr="0046702C" w:rsidRDefault="00210F17" w:rsidP="001D37CB">
      <w:pPr>
        <w:pStyle w:val="EPMBullets"/>
        <w:tabs>
          <w:tab w:val="clear" w:pos="284"/>
          <w:tab w:val="clear" w:pos="567"/>
          <w:tab w:val="clear" w:pos="851"/>
          <w:tab w:val="left" w:pos="1985"/>
        </w:tabs>
        <w:ind w:left="851" w:hanging="284"/>
        <w:rPr>
          <w:rFonts w:ascii="Century Gothic" w:hAnsi="Century Gothic"/>
          <w:color w:val="538135" w:themeColor="accent6" w:themeShade="BF"/>
        </w:rPr>
      </w:pPr>
      <w:r w:rsidRPr="0046702C">
        <w:rPr>
          <w:rFonts w:ascii="Century Gothic" w:hAnsi="Century Gothic"/>
          <w:color w:val="538135" w:themeColor="accent6" w:themeShade="BF"/>
        </w:rPr>
        <w:t>The written statement of reasons for the appeal from the employee. (The grounds for the appeal must comply with paragraph 2.8 of the pay policy).</w:t>
      </w:r>
    </w:p>
    <w:p w14:paraId="52E5A93C" w14:textId="121645F9" w:rsidR="00210F17" w:rsidRPr="0046702C" w:rsidRDefault="00210F17" w:rsidP="001D37CB">
      <w:pPr>
        <w:pStyle w:val="EPMBullets"/>
        <w:tabs>
          <w:tab w:val="clear" w:pos="284"/>
          <w:tab w:val="clear" w:pos="567"/>
          <w:tab w:val="clear" w:pos="851"/>
          <w:tab w:val="left" w:pos="1985"/>
        </w:tabs>
        <w:ind w:left="851" w:hanging="284"/>
        <w:rPr>
          <w:rFonts w:ascii="Century Gothic" w:hAnsi="Century Gothic"/>
          <w:color w:val="538135" w:themeColor="accent6" w:themeShade="BF"/>
        </w:rPr>
      </w:pPr>
      <w:r w:rsidRPr="0046702C">
        <w:rPr>
          <w:rFonts w:ascii="Century Gothic" w:hAnsi="Century Gothic"/>
          <w:color w:val="538135" w:themeColor="accent6" w:themeShade="BF"/>
        </w:rPr>
        <w:t>Any additional documents to be used at the appeal hearing which must be provided to the other party at least 48 hours before the commencement of the hearing.</w:t>
      </w:r>
    </w:p>
    <w:p w14:paraId="2E0159F7" w14:textId="77777777" w:rsidR="003C6060" w:rsidRPr="0046702C" w:rsidRDefault="003C6060">
      <w:pPr>
        <w:pStyle w:val="Numbered"/>
        <w:numPr>
          <w:ilvl w:val="0"/>
          <w:numId w:val="46"/>
        </w:numPr>
        <w:rPr>
          <w:rFonts w:ascii="Century Gothic" w:hAnsi="Century Gothic"/>
          <w:color w:val="538135" w:themeColor="accent6" w:themeShade="BF"/>
        </w:rPr>
      </w:pPr>
      <w:r w:rsidRPr="0046702C">
        <w:rPr>
          <w:rFonts w:ascii="Century Gothic" w:hAnsi="Century Gothic"/>
          <w:color w:val="538135" w:themeColor="accent6" w:themeShade="BF"/>
          <w:sz w:val="21"/>
          <w:szCs w:val="21"/>
        </w:rPr>
        <w:t xml:space="preserve">For the purposes of the appeal, the Review Committee representative may call the Headteacher (or in accordance with note 3 below, a governor) as a witness for the Review Committee. In that event, the Headteacher (or governor) may be questioned as a witness. </w:t>
      </w:r>
    </w:p>
    <w:p w14:paraId="18A196B4" w14:textId="77777777" w:rsidR="003C6060" w:rsidRPr="0046702C" w:rsidRDefault="003C6060">
      <w:pPr>
        <w:pStyle w:val="Numbered"/>
        <w:numPr>
          <w:ilvl w:val="0"/>
          <w:numId w:val="46"/>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Where the Headteacher has asked for the review the representative of the Review Committee may call the Chair of Governors and/or one of the governors referred to in paragraph 2.20 of the policy above as a witness.</w:t>
      </w:r>
    </w:p>
    <w:p w14:paraId="4D731C69" w14:textId="105499EB" w:rsidR="003C6060" w:rsidRPr="0046702C" w:rsidRDefault="003C6060">
      <w:pPr>
        <w:pStyle w:val="Numbered"/>
        <w:numPr>
          <w:ilvl w:val="0"/>
          <w:numId w:val="46"/>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The Review Appeal Committee may appoint an adviser who may not be an employee of the Pay Body.</w:t>
      </w:r>
    </w:p>
    <w:p w14:paraId="7B8716CD" w14:textId="1C97EE05" w:rsidR="006A4E4E" w:rsidRPr="0046702C" w:rsidRDefault="006A4E4E">
      <w:pPr>
        <w:rPr>
          <w:rFonts w:ascii="Century Gothic" w:hAnsi="Century Gothic" w:cs="Arial"/>
          <w:color w:val="538135" w:themeColor="accent6" w:themeShade="BF"/>
          <w:sz w:val="21"/>
          <w:szCs w:val="20"/>
        </w:rPr>
      </w:pPr>
      <w:r w:rsidRPr="0046702C">
        <w:rPr>
          <w:rFonts w:ascii="Century Gothic" w:hAnsi="Century Gothic"/>
          <w:color w:val="538135" w:themeColor="accent6" w:themeShade="BF"/>
        </w:rPr>
        <w:br w:type="page"/>
      </w:r>
    </w:p>
    <w:p w14:paraId="470AD50A" w14:textId="77777777" w:rsidR="004B2EB2" w:rsidRPr="0046702C" w:rsidRDefault="004B2EB2" w:rsidP="004B2EB2">
      <w:pPr>
        <w:pStyle w:val="EPMPageHeading"/>
        <w:rPr>
          <w:rFonts w:ascii="Century Gothic" w:hAnsi="Century Gothic"/>
          <w:color w:val="538135" w:themeColor="accent6" w:themeShade="BF"/>
        </w:rPr>
      </w:pPr>
      <w:bookmarkStart w:id="134" w:name="_Toc129873008"/>
      <w:r w:rsidRPr="0046702C">
        <w:rPr>
          <w:rFonts w:ascii="Century Gothic" w:hAnsi="Century Gothic"/>
          <w:color w:val="538135" w:themeColor="accent6" w:themeShade="BF"/>
        </w:rPr>
        <w:lastRenderedPageBreak/>
        <w:t>Annex C: Access to the Teacher’s Upper Pay Range</w:t>
      </w:r>
      <w:bookmarkEnd w:id="134"/>
    </w:p>
    <w:p w14:paraId="059BB202" w14:textId="77777777" w:rsidR="004B2EB2" w:rsidRPr="0046702C" w:rsidRDefault="004B2EB2" w:rsidP="004B2EB2">
      <w:pPr>
        <w:pStyle w:val="EPMTextstyle"/>
        <w:rPr>
          <w:rFonts w:ascii="Century Gothic" w:hAnsi="Century Gothic"/>
          <w:color w:val="538135" w:themeColor="accent6" w:themeShade="BF"/>
        </w:rPr>
      </w:pPr>
      <w:r w:rsidRPr="0046702C">
        <w:rPr>
          <w:rFonts w:ascii="Century Gothic" w:hAnsi="Century Gothic"/>
          <w:color w:val="538135" w:themeColor="accent6" w:themeShade="BF"/>
        </w:rPr>
        <w:t>The annex should have been completed for the 2020 Pay Policy. If this is the case then the annex will only require a review to ensure that the policy is fit for its purpose and is being applied fairly and consistently. For reference, the issues which the Pay Body had to decide previously are set out below.</w:t>
      </w:r>
    </w:p>
    <w:p w14:paraId="05F78D3D" w14:textId="77777777" w:rsidR="004B2EB2" w:rsidRPr="0046702C" w:rsidRDefault="004B2EB2" w:rsidP="004B2EB2">
      <w:pPr>
        <w:pStyle w:val="EPMTextstyle"/>
        <w:rPr>
          <w:rFonts w:ascii="Century Gothic" w:hAnsi="Century Gothic"/>
          <w:color w:val="538135" w:themeColor="accent6" w:themeShade="BF"/>
        </w:rPr>
      </w:pPr>
      <w:r w:rsidRPr="0046702C">
        <w:rPr>
          <w:rFonts w:ascii="Century Gothic" w:hAnsi="Century Gothic"/>
          <w:color w:val="538135" w:themeColor="accent6" w:themeShade="BF"/>
        </w:rPr>
        <w:t>This Annex should set out how the Pay Body will define “highly competent” and “substantial and sustained”. The Pay Body is advised to refer to the DfE guidance, ‘Implementing Your School’s Approach to Pay’, for advice.</w:t>
      </w:r>
    </w:p>
    <w:p w14:paraId="0B92E3FA" w14:textId="05578264" w:rsidR="001D37CB" w:rsidRPr="0046702C" w:rsidRDefault="004B2EB2" w:rsidP="004B2EB2">
      <w:pPr>
        <w:pStyle w:val="EPMTextstyle"/>
        <w:rPr>
          <w:rFonts w:ascii="Century Gothic" w:hAnsi="Century Gothic"/>
          <w:color w:val="538135" w:themeColor="accent6" w:themeShade="BF"/>
        </w:rPr>
      </w:pPr>
      <w:r w:rsidRPr="0046702C">
        <w:rPr>
          <w:rFonts w:ascii="Century Gothic" w:hAnsi="Century Gothic"/>
          <w:color w:val="538135" w:themeColor="accent6" w:themeShade="BF"/>
        </w:rPr>
        <w:t>It is advised that the annex identifies;</w:t>
      </w:r>
    </w:p>
    <w:p w14:paraId="780BC116" w14:textId="769DBDC1" w:rsidR="00D26242" w:rsidRPr="0046702C" w:rsidRDefault="00D26242" w:rsidP="00D26242">
      <w:pPr>
        <w:pStyle w:val="EPMBullets"/>
        <w:tabs>
          <w:tab w:val="clear" w:pos="851"/>
        </w:tabs>
        <w:ind w:left="284" w:hanging="284"/>
        <w:rPr>
          <w:rFonts w:ascii="Century Gothic" w:hAnsi="Century Gothic"/>
          <w:color w:val="538135" w:themeColor="accent6" w:themeShade="BF"/>
        </w:rPr>
      </w:pPr>
      <w:r w:rsidRPr="0046702C">
        <w:rPr>
          <w:rFonts w:ascii="Century Gothic" w:hAnsi="Century Gothic"/>
          <w:color w:val="538135" w:themeColor="accent6" w:themeShade="BF"/>
        </w:rPr>
        <w:t>The application should be made</w:t>
      </w:r>
      <w:r w:rsidR="009848EF" w:rsidRPr="0046702C">
        <w:rPr>
          <w:rFonts w:ascii="Century Gothic" w:hAnsi="Century Gothic"/>
          <w:color w:val="538135" w:themeColor="accent6" w:themeShade="BF"/>
        </w:rPr>
        <w:t xml:space="preserve"> by 31</w:t>
      </w:r>
      <w:r w:rsidR="009848EF" w:rsidRPr="0046702C">
        <w:rPr>
          <w:rFonts w:ascii="Century Gothic" w:hAnsi="Century Gothic"/>
          <w:color w:val="538135" w:themeColor="accent6" w:themeShade="BF"/>
          <w:vertAlign w:val="superscript"/>
        </w:rPr>
        <w:t>st</w:t>
      </w:r>
      <w:r w:rsidR="009848EF" w:rsidRPr="0046702C">
        <w:rPr>
          <w:rFonts w:ascii="Century Gothic" w:hAnsi="Century Gothic"/>
          <w:color w:val="538135" w:themeColor="accent6" w:themeShade="BF"/>
        </w:rPr>
        <w:t xml:space="preserve"> October of the year the award is to be given.  Late submissions will not be considered.</w:t>
      </w:r>
    </w:p>
    <w:p w14:paraId="75FB5F3A" w14:textId="733418D9" w:rsidR="00D26242" w:rsidRPr="0046702C" w:rsidRDefault="00467EC9" w:rsidP="00D26242">
      <w:pPr>
        <w:pStyle w:val="EPMBullets"/>
        <w:tabs>
          <w:tab w:val="clear" w:pos="851"/>
        </w:tabs>
        <w:ind w:left="284" w:hanging="284"/>
        <w:rPr>
          <w:rFonts w:ascii="Century Gothic" w:hAnsi="Century Gothic"/>
          <w:color w:val="538135" w:themeColor="accent6" w:themeShade="BF"/>
        </w:rPr>
      </w:pPr>
      <w:r w:rsidRPr="0046702C">
        <w:rPr>
          <w:rFonts w:ascii="Century Gothic" w:hAnsi="Century Gothic"/>
          <w:color w:val="538135" w:themeColor="accent6" w:themeShade="BF"/>
        </w:rPr>
        <w:t>T</w:t>
      </w:r>
      <w:r w:rsidR="009848EF" w:rsidRPr="0046702C">
        <w:rPr>
          <w:rFonts w:ascii="Century Gothic" w:hAnsi="Century Gothic"/>
          <w:color w:val="538135" w:themeColor="accent6" w:themeShade="BF"/>
        </w:rPr>
        <w:t>he headteacher should receive the application</w:t>
      </w:r>
    </w:p>
    <w:p w14:paraId="47812630" w14:textId="30AA44AE" w:rsidR="00D26242" w:rsidRPr="0046702C" w:rsidRDefault="009848EF" w:rsidP="00D26242">
      <w:pPr>
        <w:pStyle w:val="EPMBullets"/>
        <w:tabs>
          <w:tab w:val="clear" w:pos="851"/>
        </w:tabs>
        <w:ind w:left="284" w:hanging="284"/>
        <w:rPr>
          <w:rFonts w:ascii="Century Gothic" w:hAnsi="Century Gothic"/>
          <w:color w:val="538135" w:themeColor="accent6" w:themeShade="BF"/>
        </w:rPr>
      </w:pPr>
      <w:r w:rsidRPr="0046702C">
        <w:rPr>
          <w:rFonts w:ascii="Century Gothic" w:hAnsi="Century Gothic"/>
          <w:color w:val="538135" w:themeColor="accent6" w:themeShade="BF"/>
        </w:rPr>
        <w:t xml:space="preserve">A folder of evidence should be submitted to demonstrate how each of the strands are met </w:t>
      </w:r>
    </w:p>
    <w:p w14:paraId="40A2CB7D" w14:textId="1C2A1738" w:rsidR="00D26242" w:rsidRPr="0046702C" w:rsidRDefault="00467EC9" w:rsidP="00D26242">
      <w:pPr>
        <w:pStyle w:val="EPMBullets"/>
        <w:tabs>
          <w:tab w:val="clear" w:pos="851"/>
        </w:tabs>
        <w:ind w:left="284" w:hanging="284"/>
        <w:rPr>
          <w:rFonts w:ascii="Century Gothic" w:hAnsi="Century Gothic"/>
          <w:color w:val="538135" w:themeColor="accent6" w:themeShade="BF"/>
        </w:rPr>
      </w:pPr>
      <w:r w:rsidRPr="0046702C">
        <w:rPr>
          <w:rFonts w:ascii="Century Gothic" w:hAnsi="Century Gothic"/>
          <w:color w:val="538135" w:themeColor="accent6" w:themeShade="BF"/>
        </w:rPr>
        <w:t xml:space="preserve">A letter of application along with a folder of evidence demonstrating how each strand is met. </w:t>
      </w:r>
    </w:p>
    <w:p w14:paraId="40656243" w14:textId="045E8A77" w:rsidR="00D26242" w:rsidRPr="0046702C" w:rsidRDefault="00467EC9" w:rsidP="00D26242">
      <w:pPr>
        <w:pStyle w:val="EPMBullets"/>
        <w:tabs>
          <w:tab w:val="clear" w:pos="851"/>
        </w:tabs>
        <w:ind w:left="284" w:hanging="284"/>
        <w:rPr>
          <w:rFonts w:ascii="Century Gothic" w:hAnsi="Century Gothic"/>
          <w:color w:val="538135" w:themeColor="accent6" w:themeShade="BF"/>
        </w:rPr>
      </w:pPr>
      <w:r w:rsidRPr="0046702C">
        <w:rPr>
          <w:rFonts w:ascii="Century Gothic" w:hAnsi="Century Gothic"/>
          <w:color w:val="538135" w:themeColor="accent6" w:themeShade="BF"/>
        </w:rPr>
        <w:t>T</w:t>
      </w:r>
      <w:r w:rsidR="009848EF" w:rsidRPr="0046702C">
        <w:rPr>
          <w:rFonts w:ascii="Century Gothic" w:hAnsi="Century Gothic"/>
          <w:color w:val="538135" w:themeColor="accent6" w:themeShade="BF"/>
        </w:rPr>
        <w:t>he application will be assessed by a panel of governors and an independent advisor (CEO or other) taking into account the recommendations form the HT and the evidence submitted by the applicant.</w:t>
      </w:r>
    </w:p>
    <w:p w14:paraId="0C7774BE" w14:textId="48136231" w:rsidR="00D26242" w:rsidRPr="0046702C" w:rsidRDefault="009848EF" w:rsidP="00D26242">
      <w:pPr>
        <w:pStyle w:val="EPMBullets"/>
        <w:tabs>
          <w:tab w:val="clear" w:pos="851"/>
        </w:tabs>
        <w:ind w:left="284" w:hanging="284"/>
        <w:rPr>
          <w:rFonts w:ascii="Century Gothic" w:hAnsi="Century Gothic"/>
          <w:color w:val="538135" w:themeColor="accent6" w:themeShade="BF"/>
        </w:rPr>
      </w:pPr>
      <w:r w:rsidRPr="0046702C">
        <w:rPr>
          <w:rFonts w:ascii="Century Gothic" w:hAnsi="Century Gothic"/>
          <w:color w:val="538135" w:themeColor="accent6" w:themeShade="BF"/>
        </w:rPr>
        <w:t>The committee will convene before the end of the Autumn term and make recommendations which will made</w:t>
      </w:r>
      <w:r w:rsidR="00467EC9" w:rsidRPr="0046702C">
        <w:rPr>
          <w:rFonts w:ascii="Century Gothic" w:hAnsi="Century Gothic"/>
          <w:color w:val="538135" w:themeColor="accent6" w:themeShade="BF"/>
        </w:rPr>
        <w:t xml:space="preserve"> within 10 days of meeting</w:t>
      </w:r>
    </w:p>
    <w:p w14:paraId="5DC64CAD" w14:textId="2AAAC978" w:rsidR="00D26242" w:rsidRPr="0046702C" w:rsidRDefault="009848EF" w:rsidP="00D26242">
      <w:pPr>
        <w:pStyle w:val="EPMBullets"/>
        <w:tabs>
          <w:tab w:val="clear" w:pos="851"/>
        </w:tabs>
        <w:ind w:left="284" w:hanging="284"/>
        <w:rPr>
          <w:rFonts w:ascii="Century Gothic" w:hAnsi="Century Gothic"/>
          <w:color w:val="538135" w:themeColor="accent6" w:themeShade="BF"/>
        </w:rPr>
      </w:pPr>
      <w:r w:rsidRPr="0046702C">
        <w:rPr>
          <w:rFonts w:ascii="Century Gothic" w:hAnsi="Century Gothic"/>
          <w:color w:val="538135" w:themeColor="accent6" w:themeShade="BF"/>
        </w:rPr>
        <w:t xml:space="preserve">The successful applicant will be viewed on a case by case basis on the recommendation of the HT along with the evidence that they have submitted. </w:t>
      </w:r>
    </w:p>
    <w:p w14:paraId="5DC0C5FB" w14:textId="43223FEC" w:rsidR="00D74F7D" w:rsidRPr="0046702C" w:rsidRDefault="009848EF" w:rsidP="00D74F7D">
      <w:pPr>
        <w:pStyle w:val="EPMBullets"/>
        <w:ind w:left="1134" w:hanging="850"/>
        <w:rPr>
          <w:rFonts w:ascii="Century Gothic" w:hAnsi="Century Gothic"/>
          <w:color w:val="538135" w:themeColor="accent6" w:themeShade="BF"/>
        </w:rPr>
      </w:pPr>
      <w:r w:rsidRPr="0046702C">
        <w:rPr>
          <w:rFonts w:ascii="Century Gothic" w:hAnsi="Century Gothic"/>
          <w:color w:val="538135" w:themeColor="accent6" w:themeShade="BF"/>
        </w:rPr>
        <w:t>this will be reported to the in writing no later than 10 working days from the committee</w:t>
      </w:r>
      <w:r w:rsidR="00467EC9" w:rsidRPr="0046702C">
        <w:rPr>
          <w:rFonts w:ascii="Century Gothic" w:hAnsi="Century Gothic"/>
          <w:color w:val="538135" w:themeColor="accent6" w:themeShade="BF"/>
        </w:rPr>
        <w:t xml:space="preserve"> </w:t>
      </w:r>
      <w:r w:rsidRPr="0046702C">
        <w:rPr>
          <w:rFonts w:ascii="Century Gothic" w:hAnsi="Century Gothic"/>
          <w:color w:val="538135" w:themeColor="accent6" w:themeShade="BF"/>
        </w:rPr>
        <w:t>review.</w:t>
      </w:r>
      <w:r w:rsidR="00915068" w:rsidRPr="0046702C">
        <w:rPr>
          <w:rFonts w:ascii="Century Gothic" w:hAnsi="Century Gothic"/>
          <w:color w:val="538135" w:themeColor="accent6" w:themeShade="BF"/>
        </w:rPr>
        <w:t xml:space="preserve">  The HT will be informed at the same time. </w:t>
      </w:r>
    </w:p>
    <w:p w14:paraId="6CBAA358" w14:textId="77777777" w:rsidR="00915068" w:rsidRPr="0046702C" w:rsidRDefault="00915068" w:rsidP="009B3226">
      <w:pPr>
        <w:pStyle w:val="EPMBullets"/>
        <w:numPr>
          <w:ilvl w:val="0"/>
          <w:numId w:val="0"/>
        </w:numPr>
        <w:ind w:left="720" w:hanging="720"/>
        <w:rPr>
          <w:rFonts w:ascii="Century Gothic" w:hAnsi="Century Gothic"/>
          <w:color w:val="538135" w:themeColor="accent6" w:themeShade="BF"/>
        </w:rPr>
      </w:pPr>
    </w:p>
    <w:p w14:paraId="75CE87F8" w14:textId="77777777" w:rsidR="009848EF" w:rsidRPr="0046702C" w:rsidRDefault="009848EF" w:rsidP="009848EF">
      <w:pPr>
        <w:pStyle w:val="EPMBullets"/>
        <w:rPr>
          <w:rFonts w:ascii="Century Gothic" w:hAnsi="Century Gothic"/>
          <w:b/>
          <w:bCs/>
          <w:color w:val="538135" w:themeColor="accent6" w:themeShade="BF"/>
          <w:sz w:val="24"/>
          <w:szCs w:val="24"/>
        </w:rPr>
      </w:pPr>
      <w:r w:rsidRPr="0046702C">
        <w:rPr>
          <w:rFonts w:ascii="Century Gothic" w:hAnsi="Century Gothic"/>
          <w:b/>
          <w:bCs/>
          <w:color w:val="538135" w:themeColor="accent6" w:themeShade="BF"/>
          <w:sz w:val="24"/>
          <w:szCs w:val="24"/>
        </w:rPr>
        <w:t>UPPER PAY RANGE PROGRESSION CRITERIA</w:t>
      </w:r>
    </w:p>
    <w:p w14:paraId="0F4327BD" w14:textId="77777777" w:rsidR="009848EF" w:rsidRPr="0046702C" w:rsidRDefault="009848EF" w:rsidP="009848EF">
      <w:pPr>
        <w:pStyle w:val="EPMBullets"/>
        <w:numPr>
          <w:ilvl w:val="0"/>
          <w:numId w:val="0"/>
        </w:numPr>
        <w:rPr>
          <w:rFonts w:ascii="Century Gothic" w:hAnsi="Century Gothic"/>
          <w:b/>
          <w:bCs/>
          <w:color w:val="538135" w:themeColor="accent6" w:themeShade="BF"/>
        </w:rPr>
      </w:pPr>
      <w:r w:rsidRPr="0046702C">
        <w:rPr>
          <w:rFonts w:ascii="Century Gothic" w:hAnsi="Century Gothic"/>
          <w:b/>
          <w:bCs/>
          <w:color w:val="538135" w:themeColor="accent6" w:themeShade="BF"/>
        </w:rPr>
        <w:t>1. Professional Attributes</w:t>
      </w:r>
    </w:p>
    <w:p w14:paraId="37E36314" w14:textId="200567CD" w:rsidR="009848EF"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t>1.1 Contribute significantly, where appropriate, to implementing workplace policies and practice and to promoting collective responsibility for their implementation.</w:t>
      </w:r>
    </w:p>
    <w:p w14:paraId="295CC52B" w14:textId="77777777" w:rsidR="009848EF" w:rsidRPr="0046702C" w:rsidRDefault="009848EF" w:rsidP="009848EF">
      <w:pPr>
        <w:pStyle w:val="EPMBullets"/>
        <w:numPr>
          <w:ilvl w:val="0"/>
          <w:numId w:val="0"/>
        </w:numPr>
        <w:rPr>
          <w:rFonts w:ascii="Century Gothic" w:hAnsi="Century Gothic"/>
          <w:b/>
          <w:bCs/>
          <w:color w:val="538135" w:themeColor="accent6" w:themeShade="BF"/>
        </w:rPr>
      </w:pPr>
      <w:r w:rsidRPr="0046702C">
        <w:rPr>
          <w:rFonts w:ascii="Century Gothic" w:hAnsi="Century Gothic"/>
          <w:b/>
          <w:bCs/>
          <w:color w:val="538135" w:themeColor="accent6" w:themeShade="BF"/>
        </w:rPr>
        <w:t>2. Professional knowledge and understanding</w:t>
      </w:r>
    </w:p>
    <w:p w14:paraId="0DFA3DDF" w14:textId="55B20BCE" w:rsidR="009848EF"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t>2.1 Have an extensive knowledge and understanding of how to use and adapt a range of teaching, learning and behaviour management strategies, including how to  personalise learning to provide opportunities for all learners to achieve their potential.</w:t>
      </w:r>
    </w:p>
    <w:p w14:paraId="7454F5D8" w14:textId="67F1FB9C" w:rsidR="009848EF"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t>2.2 Have an extensive knowledge and well-informed understanding of the assessment requirements and arrangements for the subjects/curriculum areas they teach, including those related to public examinations and qualifications.</w:t>
      </w:r>
    </w:p>
    <w:p w14:paraId="110E5C87" w14:textId="25988570" w:rsidR="009848EF"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t>2.3 Have up to date knowledge and understanding of the different types of qualifications and specifications and their suitability for meeting learners’ needs.</w:t>
      </w:r>
    </w:p>
    <w:p w14:paraId="28D2EE86" w14:textId="5D6103D8" w:rsidR="009848EF"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t>2.4 Have a more developed knowledge and understanding of their subjects/curriculum areas and related pedagogy, including how learning progresses within them.</w:t>
      </w:r>
    </w:p>
    <w:p w14:paraId="325698A5" w14:textId="471F65F9" w:rsidR="009848EF"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lastRenderedPageBreak/>
        <w:t>2.5 Have sufficient depth of knowledge and experience to be able to give advice on the development and wellbeing of children and young people.</w:t>
      </w:r>
    </w:p>
    <w:p w14:paraId="3F2AC63C" w14:textId="77777777" w:rsidR="009848EF" w:rsidRPr="0046702C" w:rsidRDefault="009848EF" w:rsidP="009848EF">
      <w:pPr>
        <w:pStyle w:val="EPMBullets"/>
        <w:rPr>
          <w:rFonts w:ascii="Century Gothic" w:hAnsi="Century Gothic"/>
          <w:b/>
          <w:bCs/>
          <w:color w:val="538135" w:themeColor="accent6" w:themeShade="BF"/>
          <w:u w:val="single"/>
        </w:rPr>
      </w:pPr>
      <w:r w:rsidRPr="0046702C">
        <w:rPr>
          <w:rFonts w:ascii="Century Gothic" w:hAnsi="Century Gothic"/>
          <w:b/>
          <w:bCs/>
          <w:color w:val="538135" w:themeColor="accent6" w:themeShade="BF"/>
          <w:u w:val="single"/>
        </w:rPr>
        <w:t>3. Professional skills</w:t>
      </w:r>
    </w:p>
    <w:p w14:paraId="1CC3E3AD" w14:textId="12D916B1" w:rsidR="009848EF"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t>3.1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477BE359" w14:textId="530EE940" w:rsidR="009848EF"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t>3.2 Have teaching skills which lead to learners achieving well relative to their prior attainment, making progress as good as, or better than, similar learners nationally.</w:t>
      </w:r>
    </w:p>
    <w:p w14:paraId="76CDA080" w14:textId="77777777" w:rsidR="009848EF"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t>3.3 Promote collaboration and work effectively as a team member.</w:t>
      </w:r>
    </w:p>
    <w:p w14:paraId="51AA2F1E" w14:textId="48F65DB6" w:rsidR="009B3226" w:rsidRPr="0046702C" w:rsidRDefault="009848EF" w:rsidP="009848EF">
      <w:pPr>
        <w:pStyle w:val="EPMBullets"/>
        <w:rPr>
          <w:rFonts w:ascii="Century Gothic" w:hAnsi="Century Gothic"/>
          <w:color w:val="538135" w:themeColor="accent6" w:themeShade="BF"/>
        </w:rPr>
      </w:pPr>
      <w:r w:rsidRPr="0046702C">
        <w:rPr>
          <w:rFonts w:ascii="Century Gothic" w:hAnsi="Century Gothic"/>
          <w:color w:val="538135" w:themeColor="accent6" w:themeShade="BF"/>
        </w:rPr>
        <w:t>3.4 Contribute to the professional development of colleagues through coaching and Mentoring, demonstrating effective practice and providing advice and feedback</w:t>
      </w:r>
      <w:r w:rsidR="00915068" w:rsidRPr="0046702C">
        <w:rPr>
          <w:rFonts w:ascii="Century Gothic" w:hAnsi="Century Gothic"/>
          <w:color w:val="538135" w:themeColor="accent6" w:themeShade="BF"/>
        </w:rPr>
        <w:t>. Act as role models for teaching and learning, make a distinctive contribution to raising standards across the school.</w:t>
      </w:r>
    </w:p>
    <w:p w14:paraId="0F25CCC1" w14:textId="3E5239DA" w:rsidR="00915068" w:rsidRPr="0046702C" w:rsidRDefault="00915068" w:rsidP="00915068">
      <w:p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The framework of standards is progressive, reflecting the progression expected of teachers as their professional attributes, knowledge, understanding and skills develop and they demonstrate increasing effectiveness in their roles.</w:t>
      </w:r>
      <w:r w:rsidRPr="0046702C">
        <w:rPr>
          <w:rFonts w:ascii="Century Gothic" w:hAnsi="Century Gothic"/>
          <w:color w:val="538135" w:themeColor="accent6" w:themeShade="BF"/>
          <w:sz w:val="21"/>
          <w:szCs w:val="21"/>
        </w:rPr>
        <w:br/>
      </w:r>
    </w:p>
    <w:p w14:paraId="0EF9D889" w14:textId="026E9270" w:rsidR="00915068" w:rsidRPr="0046702C" w:rsidRDefault="00915068" w:rsidP="00915068">
      <w:p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Post Threshold Teachers are able to act as role models for teaching and learning, make a distinctive contribution to raising standards across the school, continue to develop their expertise post threshold and provide regular coaching and mentoring to less experienced teachers. Excellent Teachers provide an exemplary model to others through their professional expertise, have a leading role in raising standards by supporting improvements in teaching practice and support and help their colleagues to improve their effectiveness and to address their development needs through highly effective coaching and mentoring. Leading school improvement activities and continuing professional development (CPD) for other teachers.  They carry out developmental work across a range of workplaces and draw on the experience they gain elsewhere to improve practice in their own  and other schools.</w:t>
      </w:r>
    </w:p>
    <w:p w14:paraId="37BA8146" w14:textId="77777777" w:rsidR="00915068" w:rsidRPr="0046702C" w:rsidRDefault="00915068">
      <w:pPr>
        <w:rPr>
          <w:rFonts w:ascii="Century Gothic" w:hAnsi="Century Gothic"/>
          <w:color w:val="538135" w:themeColor="accent6" w:themeShade="BF"/>
        </w:rPr>
      </w:pPr>
    </w:p>
    <w:p w14:paraId="3CD4D488" w14:textId="265D8D70" w:rsidR="00915068" w:rsidRPr="0046702C" w:rsidRDefault="00915068" w:rsidP="00915068">
      <w:pPr>
        <w:rPr>
          <w:rFonts w:ascii="Century Gothic" w:hAnsi="Century Gothic"/>
          <w:b/>
          <w:bCs/>
          <w:color w:val="538135" w:themeColor="accent6" w:themeShade="BF"/>
        </w:rPr>
      </w:pPr>
      <w:r w:rsidRPr="0046702C">
        <w:rPr>
          <w:rFonts w:ascii="Century Gothic" w:hAnsi="Century Gothic"/>
          <w:b/>
          <w:bCs/>
          <w:color w:val="538135" w:themeColor="accent6" w:themeShade="BF"/>
        </w:rPr>
        <w:t xml:space="preserve">2. </w:t>
      </w:r>
      <w:r w:rsidR="00467EC9" w:rsidRPr="0046702C">
        <w:rPr>
          <w:rFonts w:ascii="Century Gothic" w:hAnsi="Century Gothic"/>
          <w:b/>
          <w:bCs/>
          <w:color w:val="538135" w:themeColor="accent6" w:themeShade="BF"/>
        </w:rPr>
        <w:t xml:space="preserve"> </w:t>
      </w:r>
      <w:r w:rsidRPr="0046702C">
        <w:rPr>
          <w:rFonts w:ascii="Century Gothic" w:hAnsi="Century Gothic"/>
          <w:b/>
          <w:bCs/>
          <w:color w:val="538135" w:themeColor="accent6" w:themeShade="BF"/>
        </w:rPr>
        <w:t>Teacher's achievements and contribution to the setting are substantial and sustained</w:t>
      </w:r>
      <w:r w:rsidR="00467EC9" w:rsidRPr="0046702C">
        <w:rPr>
          <w:rFonts w:ascii="Century Gothic" w:hAnsi="Century Gothic"/>
          <w:b/>
          <w:bCs/>
          <w:color w:val="538135" w:themeColor="accent6" w:themeShade="BF"/>
        </w:rPr>
        <w:t xml:space="preserve"> what this looks at </w:t>
      </w:r>
      <w:r w:rsidR="00467EC9" w:rsidRPr="0046702C">
        <w:rPr>
          <w:rFonts w:ascii="Century Gothic" w:hAnsi="Century Gothic"/>
          <w:b/>
          <w:bCs/>
          <w:color w:val="538135" w:themeColor="accent6" w:themeShade="BF"/>
          <w:highlight w:val="yellow"/>
        </w:rPr>
        <w:t>****</w:t>
      </w:r>
      <w:r w:rsidR="00467EC9" w:rsidRPr="0046702C">
        <w:rPr>
          <w:rFonts w:ascii="Century Gothic" w:hAnsi="Century Gothic"/>
          <w:b/>
          <w:bCs/>
          <w:color w:val="538135" w:themeColor="accent6" w:themeShade="BF"/>
        </w:rPr>
        <w:t xml:space="preserve"> insert school name)</w:t>
      </w:r>
    </w:p>
    <w:p w14:paraId="747DA613" w14:textId="77777777" w:rsidR="00915068" w:rsidRPr="0046702C" w:rsidRDefault="00915068" w:rsidP="00915068">
      <w:pPr>
        <w:rPr>
          <w:rFonts w:ascii="Century Gothic" w:hAnsi="Century Gothic"/>
          <w:color w:val="538135" w:themeColor="accent6" w:themeShade="BF"/>
          <w:sz w:val="21"/>
          <w:szCs w:val="21"/>
        </w:rPr>
      </w:pPr>
    </w:p>
    <w:p w14:paraId="5AE56F18" w14:textId="77777777" w:rsidR="00915068" w:rsidRPr="0046702C" w:rsidRDefault="00915068" w:rsidP="00915068">
      <w:pPr>
        <w:rPr>
          <w:rFonts w:ascii="Century Gothic" w:hAnsi="Century Gothic"/>
          <w:color w:val="538135" w:themeColor="accent6" w:themeShade="BF"/>
          <w:sz w:val="21"/>
          <w:szCs w:val="21"/>
        </w:rPr>
      </w:pPr>
    </w:p>
    <w:p w14:paraId="2EE3CC87" w14:textId="77777777" w:rsidR="00915068" w:rsidRPr="0046702C" w:rsidRDefault="00915068" w:rsidP="00915068">
      <w:pPr>
        <w:rPr>
          <w:rFonts w:ascii="Century Gothic" w:hAnsi="Century Gothic"/>
          <w:b/>
          <w:bCs/>
          <w:color w:val="538135" w:themeColor="accent6" w:themeShade="BF"/>
          <w:sz w:val="21"/>
          <w:szCs w:val="21"/>
        </w:rPr>
      </w:pPr>
      <w:r w:rsidRPr="0046702C">
        <w:rPr>
          <w:rFonts w:ascii="Century Gothic" w:hAnsi="Century Gothic"/>
          <w:b/>
          <w:bCs/>
          <w:color w:val="538135" w:themeColor="accent6" w:themeShade="BF"/>
          <w:sz w:val="21"/>
          <w:szCs w:val="21"/>
        </w:rPr>
        <w:t>Feedback from parents and pupils</w:t>
      </w:r>
    </w:p>
    <w:p w14:paraId="742A2497" w14:textId="77777777" w:rsidR="00915068" w:rsidRPr="0046702C" w:rsidRDefault="00915068" w:rsidP="00915068">
      <w:pPr>
        <w:rPr>
          <w:rFonts w:ascii="Century Gothic" w:hAnsi="Century Gothic"/>
          <w:color w:val="538135" w:themeColor="accent6" w:themeShade="BF"/>
          <w:sz w:val="21"/>
          <w:szCs w:val="21"/>
        </w:rPr>
      </w:pPr>
    </w:p>
    <w:p w14:paraId="0FCAB4FC" w14:textId="77777777" w:rsidR="00915068" w:rsidRPr="0046702C" w:rsidRDefault="00915068" w:rsidP="00467EC9">
      <w:pPr>
        <w:pStyle w:val="ListParagraph"/>
        <w:numPr>
          <w:ilvl w:val="0"/>
          <w:numId w:val="50"/>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Receiving feedback from parents showing that the teacher's support has improved children’s enjoyment and achievement at school</w:t>
      </w:r>
    </w:p>
    <w:p w14:paraId="6E8DF266" w14:textId="77777777" w:rsidR="00915068" w:rsidRPr="0046702C" w:rsidRDefault="00915068" w:rsidP="00467EC9">
      <w:pPr>
        <w:pStyle w:val="ListParagraph"/>
        <w:numPr>
          <w:ilvl w:val="0"/>
          <w:numId w:val="50"/>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Receiving similar positive feedback from pupils</w:t>
      </w:r>
    </w:p>
    <w:p w14:paraId="3183E9C8" w14:textId="77777777" w:rsidR="00467EC9" w:rsidRPr="0046702C" w:rsidRDefault="00467EC9" w:rsidP="00467EC9">
      <w:pPr>
        <w:rPr>
          <w:rFonts w:ascii="Century Gothic" w:hAnsi="Century Gothic"/>
          <w:color w:val="538135" w:themeColor="accent6" w:themeShade="BF"/>
          <w:sz w:val="21"/>
          <w:szCs w:val="21"/>
        </w:rPr>
      </w:pPr>
    </w:p>
    <w:p w14:paraId="56991E80" w14:textId="053731F3" w:rsidR="00915068" w:rsidRPr="0046702C" w:rsidRDefault="00915068" w:rsidP="00467EC9">
      <w:pPr>
        <w:rPr>
          <w:rFonts w:ascii="Century Gothic" w:hAnsi="Century Gothic"/>
          <w:b/>
          <w:bCs/>
          <w:color w:val="538135" w:themeColor="accent6" w:themeShade="BF"/>
          <w:sz w:val="21"/>
          <w:szCs w:val="21"/>
        </w:rPr>
      </w:pPr>
      <w:r w:rsidRPr="0046702C">
        <w:rPr>
          <w:rFonts w:ascii="Century Gothic" w:hAnsi="Century Gothic"/>
          <w:b/>
          <w:bCs/>
          <w:color w:val="538135" w:themeColor="accent6" w:themeShade="BF"/>
          <w:sz w:val="21"/>
          <w:szCs w:val="21"/>
        </w:rPr>
        <w:t>Pupil progress</w:t>
      </w:r>
    </w:p>
    <w:p w14:paraId="4B34009F" w14:textId="77777777" w:rsidR="00915068" w:rsidRPr="0046702C" w:rsidRDefault="00915068" w:rsidP="00915068">
      <w:pPr>
        <w:rPr>
          <w:rFonts w:ascii="Century Gothic" w:hAnsi="Century Gothic"/>
          <w:color w:val="538135" w:themeColor="accent6" w:themeShade="BF"/>
          <w:sz w:val="21"/>
          <w:szCs w:val="21"/>
        </w:rPr>
      </w:pPr>
    </w:p>
    <w:p w14:paraId="2508B1B9" w14:textId="77777777" w:rsidR="00915068" w:rsidRPr="0046702C" w:rsidRDefault="00915068" w:rsidP="00467EC9">
      <w:pPr>
        <w:pStyle w:val="ListParagraph"/>
        <w:numPr>
          <w:ilvl w:val="0"/>
          <w:numId w:val="51"/>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Developing programmes that significantly improve reading and/or writing for low-attaining pupils</w:t>
      </w:r>
    </w:p>
    <w:p w14:paraId="5996D781" w14:textId="77777777" w:rsidR="00915068" w:rsidRPr="0046702C" w:rsidRDefault="00915068" w:rsidP="00467EC9">
      <w:pPr>
        <w:pStyle w:val="ListParagraph"/>
        <w:numPr>
          <w:ilvl w:val="0"/>
          <w:numId w:val="51"/>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Implementing a provision-mapping programme resulting in measurable improvements for pupils identified as underachieving</w:t>
      </w:r>
    </w:p>
    <w:p w14:paraId="6473C80F" w14:textId="77777777" w:rsidR="00467EC9" w:rsidRPr="0046702C" w:rsidRDefault="00467EC9" w:rsidP="00467EC9">
      <w:pPr>
        <w:pStyle w:val="ListParagraph"/>
        <w:rPr>
          <w:rFonts w:ascii="Century Gothic" w:hAnsi="Century Gothic"/>
          <w:color w:val="538135" w:themeColor="accent6" w:themeShade="BF"/>
          <w:sz w:val="21"/>
          <w:szCs w:val="21"/>
        </w:rPr>
      </w:pPr>
    </w:p>
    <w:p w14:paraId="0AD64CC7" w14:textId="77777777" w:rsidR="00915068" w:rsidRPr="0046702C" w:rsidRDefault="00915068" w:rsidP="00915068">
      <w:pPr>
        <w:rPr>
          <w:rFonts w:ascii="Century Gothic" w:hAnsi="Century Gothic"/>
          <w:b/>
          <w:bCs/>
          <w:color w:val="538135" w:themeColor="accent6" w:themeShade="BF"/>
          <w:sz w:val="21"/>
          <w:szCs w:val="21"/>
        </w:rPr>
      </w:pPr>
      <w:r w:rsidRPr="0046702C">
        <w:rPr>
          <w:rFonts w:ascii="Century Gothic" w:hAnsi="Century Gothic"/>
          <w:b/>
          <w:bCs/>
          <w:color w:val="538135" w:themeColor="accent6" w:themeShade="BF"/>
          <w:sz w:val="21"/>
          <w:szCs w:val="21"/>
        </w:rPr>
        <w:t>School community and extra-curricular involvement</w:t>
      </w:r>
    </w:p>
    <w:p w14:paraId="5A4C2AC2" w14:textId="77777777" w:rsidR="00915068" w:rsidRPr="0046702C" w:rsidRDefault="00915068" w:rsidP="00915068">
      <w:pPr>
        <w:rPr>
          <w:rFonts w:ascii="Century Gothic" w:hAnsi="Century Gothic"/>
          <w:color w:val="538135" w:themeColor="accent6" w:themeShade="BF"/>
          <w:sz w:val="21"/>
          <w:szCs w:val="21"/>
        </w:rPr>
      </w:pPr>
    </w:p>
    <w:p w14:paraId="371144B8" w14:textId="77777777" w:rsidR="00915068" w:rsidRPr="0046702C" w:rsidRDefault="00915068" w:rsidP="00467EC9">
      <w:pPr>
        <w:pStyle w:val="ListParagraph"/>
        <w:numPr>
          <w:ilvl w:val="0"/>
          <w:numId w:val="52"/>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Taking an active part in school council forums and supporting pupil-led initiatives</w:t>
      </w:r>
    </w:p>
    <w:p w14:paraId="2C86246E" w14:textId="77777777" w:rsidR="00915068" w:rsidRPr="0046702C" w:rsidRDefault="00915068" w:rsidP="00467EC9">
      <w:pPr>
        <w:pStyle w:val="ListParagraph"/>
        <w:numPr>
          <w:ilvl w:val="0"/>
          <w:numId w:val="52"/>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Taking an active part in charity events and parent-teacher fundraising activities</w:t>
      </w:r>
    </w:p>
    <w:p w14:paraId="313064C8" w14:textId="77777777" w:rsidR="00915068" w:rsidRPr="0046702C" w:rsidRDefault="00915068" w:rsidP="00467EC9">
      <w:pPr>
        <w:pStyle w:val="ListParagraph"/>
        <w:numPr>
          <w:ilvl w:val="0"/>
          <w:numId w:val="52"/>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lastRenderedPageBreak/>
        <w:t>Contributing to or leading school assemblies</w:t>
      </w:r>
    </w:p>
    <w:p w14:paraId="289717D0" w14:textId="77777777" w:rsidR="00915068" w:rsidRPr="0046702C" w:rsidRDefault="00915068" w:rsidP="00467EC9">
      <w:pPr>
        <w:pStyle w:val="ListParagraph"/>
        <w:numPr>
          <w:ilvl w:val="0"/>
          <w:numId w:val="52"/>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Contributing to extra-curricular activities, such as sports teams or choirs</w:t>
      </w:r>
    </w:p>
    <w:p w14:paraId="47794128" w14:textId="77777777" w:rsidR="00915068" w:rsidRPr="0046702C" w:rsidRDefault="00915068" w:rsidP="00467EC9">
      <w:pPr>
        <w:pStyle w:val="ListParagraph"/>
        <w:numPr>
          <w:ilvl w:val="0"/>
          <w:numId w:val="52"/>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Working with pupils to present a special assembly, play or musical performance</w:t>
      </w:r>
    </w:p>
    <w:p w14:paraId="11C57706" w14:textId="77777777" w:rsidR="00915068" w:rsidRPr="0046702C" w:rsidRDefault="00915068" w:rsidP="00467EC9">
      <w:pPr>
        <w:pStyle w:val="ListParagraph"/>
        <w:numPr>
          <w:ilvl w:val="0"/>
          <w:numId w:val="52"/>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Providing regular opportunities for pupils to visit off-site educational venues, or leading or participating in residential visits</w:t>
      </w:r>
    </w:p>
    <w:p w14:paraId="5F73CC56" w14:textId="77777777" w:rsidR="00915068" w:rsidRPr="0046702C" w:rsidRDefault="00915068" w:rsidP="00467EC9">
      <w:pPr>
        <w:pStyle w:val="ListParagraph"/>
        <w:numPr>
          <w:ilvl w:val="0"/>
          <w:numId w:val="52"/>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Working with community artists/actors to provide enrichment activities for pupils, often linked to local arts events</w:t>
      </w:r>
    </w:p>
    <w:p w14:paraId="3ED66863" w14:textId="77777777" w:rsidR="00467EC9" w:rsidRPr="0046702C" w:rsidRDefault="00467EC9" w:rsidP="00467EC9">
      <w:pPr>
        <w:pStyle w:val="ListParagraph"/>
        <w:rPr>
          <w:rFonts w:ascii="Century Gothic" w:hAnsi="Century Gothic"/>
          <w:color w:val="538135" w:themeColor="accent6" w:themeShade="BF"/>
          <w:sz w:val="21"/>
          <w:szCs w:val="21"/>
        </w:rPr>
      </w:pPr>
    </w:p>
    <w:p w14:paraId="7872F10E" w14:textId="48F772A2" w:rsidR="00915068" w:rsidRPr="0046702C" w:rsidRDefault="00915068" w:rsidP="00467EC9">
      <w:pPr>
        <w:rPr>
          <w:rFonts w:ascii="Century Gothic" w:hAnsi="Century Gothic"/>
          <w:b/>
          <w:bCs/>
          <w:color w:val="538135" w:themeColor="accent6" w:themeShade="BF"/>
          <w:sz w:val="21"/>
          <w:szCs w:val="21"/>
        </w:rPr>
      </w:pPr>
      <w:r w:rsidRPr="0046702C">
        <w:rPr>
          <w:rFonts w:ascii="Century Gothic" w:hAnsi="Century Gothic"/>
          <w:b/>
          <w:bCs/>
          <w:color w:val="538135" w:themeColor="accent6" w:themeShade="BF"/>
          <w:sz w:val="21"/>
          <w:szCs w:val="21"/>
        </w:rPr>
        <w:t>Supporting colleagues</w:t>
      </w:r>
    </w:p>
    <w:p w14:paraId="6C96A2EA" w14:textId="77777777" w:rsidR="00915068" w:rsidRPr="0046702C" w:rsidRDefault="00915068" w:rsidP="00915068">
      <w:pPr>
        <w:rPr>
          <w:rFonts w:ascii="Century Gothic" w:hAnsi="Century Gothic"/>
          <w:color w:val="538135" w:themeColor="accent6" w:themeShade="BF"/>
          <w:sz w:val="21"/>
          <w:szCs w:val="21"/>
        </w:rPr>
      </w:pPr>
    </w:p>
    <w:p w14:paraId="69F4DC86" w14:textId="77777777" w:rsidR="00915068" w:rsidRPr="0046702C" w:rsidRDefault="00915068" w:rsidP="00467EC9">
      <w:pPr>
        <w:pStyle w:val="ListParagraph"/>
        <w:numPr>
          <w:ilvl w:val="0"/>
          <w:numId w:val="53"/>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Supporting teaching assistants in their training and/or classroom practice</w:t>
      </w:r>
    </w:p>
    <w:p w14:paraId="71BCE1B6" w14:textId="77777777" w:rsidR="00915068" w:rsidRPr="0046702C" w:rsidRDefault="00915068" w:rsidP="00467EC9">
      <w:pPr>
        <w:pStyle w:val="ListParagraph"/>
        <w:numPr>
          <w:ilvl w:val="0"/>
          <w:numId w:val="53"/>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Visiting other schools and feeding back good practice to colleagues</w:t>
      </w:r>
    </w:p>
    <w:p w14:paraId="762BE592" w14:textId="77777777" w:rsidR="00915068" w:rsidRPr="0046702C" w:rsidRDefault="00915068" w:rsidP="00467EC9">
      <w:pPr>
        <w:pStyle w:val="ListParagraph"/>
        <w:numPr>
          <w:ilvl w:val="0"/>
          <w:numId w:val="53"/>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Working with local colleagues on projects of common benefit to schools</w:t>
      </w:r>
    </w:p>
    <w:p w14:paraId="0D1305F5" w14:textId="77777777" w:rsidR="00915068" w:rsidRPr="0046702C" w:rsidRDefault="00915068" w:rsidP="00467EC9">
      <w:pPr>
        <w:pStyle w:val="ListParagraph"/>
        <w:numPr>
          <w:ilvl w:val="0"/>
          <w:numId w:val="53"/>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Coaching and mentoring colleagues, including newly qualified teachers and trainee teachers, and demonstrating effective practice</w:t>
      </w:r>
    </w:p>
    <w:p w14:paraId="16620543" w14:textId="458E12C0" w:rsidR="00467EC9" w:rsidRPr="0046702C" w:rsidRDefault="00915068" w:rsidP="00467EC9">
      <w:pPr>
        <w:pStyle w:val="ListParagraph"/>
        <w:numPr>
          <w:ilvl w:val="0"/>
          <w:numId w:val="53"/>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Contributing to the recruitment process by taking part in interviews</w:t>
      </w:r>
      <w:r w:rsidR="00467EC9" w:rsidRPr="0046702C">
        <w:rPr>
          <w:rFonts w:ascii="Century Gothic" w:hAnsi="Century Gothic"/>
          <w:color w:val="538135" w:themeColor="accent6" w:themeShade="BF"/>
          <w:sz w:val="21"/>
          <w:szCs w:val="21"/>
        </w:rPr>
        <w:br/>
      </w:r>
    </w:p>
    <w:p w14:paraId="5B6EAF5B" w14:textId="77777777" w:rsidR="00915068" w:rsidRPr="0046702C" w:rsidRDefault="00915068" w:rsidP="00915068">
      <w:pPr>
        <w:rPr>
          <w:rFonts w:ascii="Century Gothic" w:hAnsi="Century Gothic"/>
          <w:b/>
          <w:bCs/>
          <w:color w:val="538135" w:themeColor="accent6" w:themeShade="BF"/>
          <w:sz w:val="21"/>
          <w:szCs w:val="21"/>
        </w:rPr>
      </w:pPr>
      <w:r w:rsidRPr="0046702C">
        <w:rPr>
          <w:rFonts w:ascii="Century Gothic" w:hAnsi="Century Gothic"/>
          <w:b/>
          <w:bCs/>
          <w:color w:val="538135" w:themeColor="accent6" w:themeShade="BF"/>
          <w:sz w:val="21"/>
          <w:szCs w:val="21"/>
        </w:rPr>
        <w:t>Professional development, research and school improvement</w:t>
      </w:r>
    </w:p>
    <w:p w14:paraId="404A0F73" w14:textId="77777777" w:rsidR="00915068" w:rsidRPr="0046702C" w:rsidRDefault="00915068" w:rsidP="00915068">
      <w:pPr>
        <w:rPr>
          <w:rFonts w:ascii="Century Gothic" w:hAnsi="Century Gothic"/>
          <w:color w:val="538135" w:themeColor="accent6" w:themeShade="BF"/>
          <w:sz w:val="21"/>
          <w:szCs w:val="21"/>
        </w:rPr>
      </w:pPr>
    </w:p>
    <w:p w14:paraId="743F7D00" w14:textId="77777777" w:rsidR="00915068" w:rsidRPr="0046702C" w:rsidRDefault="00915068" w:rsidP="00467EC9">
      <w:pPr>
        <w:pStyle w:val="ListParagraph"/>
        <w:numPr>
          <w:ilvl w:val="0"/>
          <w:numId w:val="54"/>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 xml:space="preserve">Maintaining a proactive attitude to continuing professional development, beyond attending courses. This might include reading </w:t>
      </w:r>
      <w:proofErr w:type="spellStart"/>
      <w:r w:rsidRPr="0046702C">
        <w:rPr>
          <w:rFonts w:ascii="Century Gothic" w:hAnsi="Century Gothic"/>
          <w:color w:val="538135" w:themeColor="accent6" w:themeShade="BF"/>
          <w:sz w:val="21"/>
          <w:szCs w:val="21"/>
        </w:rPr>
        <w:t>Tes</w:t>
      </w:r>
      <w:proofErr w:type="spellEnd"/>
      <w:r w:rsidRPr="0046702C">
        <w:rPr>
          <w:rFonts w:ascii="Century Gothic" w:hAnsi="Century Gothic"/>
          <w:color w:val="538135" w:themeColor="accent6" w:themeShade="BF"/>
          <w:sz w:val="21"/>
          <w:szCs w:val="21"/>
        </w:rPr>
        <w:t xml:space="preserve"> or other journals, as well as contributing to online teacher communities or professional publications</w:t>
      </w:r>
    </w:p>
    <w:p w14:paraId="42AB5B1E" w14:textId="77777777" w:rsidR="00915068" w:rsidRPr="0046702C" w:rsidRDefault="00915068" w:rsidP="00467EC9">
      <w:pPr>
        <w:pStyle w:val="ListParagraph"/>
        <w:numPr>
          <w:ilvl w:val="0"/>
          <w:numId w:val="54"/>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Carrying out action research in the classroom/school</w:t>
      </w:r>
    </w:p>
    <w:p w14:paraId="42D359F3" w14:textId="77777777" w:rsidR="00915068" w:rsidRPr="0046702C" w:rsidRDefault="00915068" w:rsidP="00467EC9">
      <w:pPr>
        <w:pStyle w:val="ListParagraph"/>
        <w:numPr>
          <w:ilvl w:val="0"/>
          <w:numId w:val="54"/>
        </w:numP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Presenting to governors, as requested, the strengths and areas for development of a subject area</w:t>
      </w:r>
    </w:p>
    <w:p w14:paraId="2E0F0EBB" w14:textId="765C962E" w:rsidR="003B1493" w:rsidRPr="0046702C" w:rsidRDefault="00915068" w:rsidP="00467EC9">
      <w:pPr>
        <w:pStyle w:val="ListParagraph"/>
        <w:numPr>
          <w:ilvl w:val="0"/>
          <w:numId w:val="54"/>
        </w:numPr>
        <w:rPr>
          <w:rFonts w:ascii="Century Gothic" w:hAnsi="Century Gothic" w:cs="Arial"/>
          <w:color w:val="538135" w:themeColor="accent6" w:themeShade="BF"/>
          <w:sz w:val="21"/>
          <w:szCs w:val="20"/>
        </w:rPr>
      </w:pPr>
      <w:r w:rsidRPr="0046702C">
        <w:rPr>
          <w:rFonts w:ascii="Century Gothic" w:hAnsi="Century Gothic"/>
          <w:color w:val="538135" w:themeColor="accent6" w:themeShade="BF"/>
          <w:sz w:val="21"/>
          <w:szCs w:val="21"/>
        </w:rPr>
        <w:t xml:space="preserve">Implementing strategies resulting in success in raising whole-school </w:t>
      </w:r>
      <w:r w:rsidR="00467EC9" w:rsidRPr="0046702C">
        <w:rPr>
          <w:rFonts w:ascii="Century Gothic" w:hAnsi="Century Gothic"/>
          <w:color w:val="538135" w:themeColor="accent6" w:themeShade="BF"/>
          <w:sz w:val="21"/>
          <w:szCs w:val="21"/>
        </w:rPr>
        <w:t>theme/achievement</w:t>
      </w:r>
      <w:r w:rsidR="001F4CA8" w:rsidRPr="0046702C">
        <w:rPr>
          <w:rFonts w:ascii="Century Gothic" w:hAnsi="Century Gothic"/>
          <w:color w:val="538135" w:themeColor="accent6" w:themeShade="BF"/>
        </w:rPr>
        <w:br w:type="page"/>
      </w:r>
      <w:bookmarkStart w:id="135" w:name="_Toc492546263"/>
      <w:bookmarkStart w:id="136" w:name="_Hlk106187732"/>
      <w:bookmarkStart w:id="137" w:name="_Toc21097727"/>
      <w:bookmarkStart w:id="138" w:name="_Toc118383144"/>
      <w:bookmarkStart w:id="139" w:name="_Toc129873010"/>
      <w:r w:rsidR="003B1493" w:rsidRPr="0046702C">
        <w:rPr>
          <w:rFonts w:ascii="Century Gothic" w:hAnsi="Century Gothic"/>
          <w:b/>
          <w:bCs/>
          <w:color w:val="538135" w:themeColor="accent6" w:themeShade="BF"/>
        </w:rPr>
        <w:lastRenderedPageBreak/>
        <w:t>Annexe E</w:t>
      </w:r>
      <w:bookmarkEnd w:id="135"/>
      <w:r w:rsidR="003B1493" w:rsidRPr="0046702C">
        <w:rPr>
          <w:rFonts w:ascii="Century Gothic" w:hAnsi="Century Gothic"/>
          <w:b/>
          <w:bCs/>
          <w:color w:val="538135" w:themeColor="accent6" w:themeShade="BF"/>
        </w:rPr>
        <w:t>:</w:t>
      </w:r>
      <w:bookmarkStart w:id="140" w:name="_Toc492546264"/>
      <w:bookmarkStart w:id="141" w:name="_Toc21087927"/>
      <w:r w:rsidR="003B1493" w:rsidRPr="0046702C">
        <w:rPr>
          <w:rFonts w:ascii="Century Gothic" w:hAnsi="Century Gothic"/>
          <w:b/>
          <w:bCs/>
          <w:color w:val="538135" w:themeColor="accent6" w:themeShade="BF"/>
        </w:rPr>
        <w:t xml:space="preserve"> The Salary Points </w:t>
      </w:r>
      <w:bookmarkEnd w:id="136"/>
      <w:r w:rsidR="003B1493" w:rsidRPr="0046702C">
        <w:rPr>
          <w:rFonts w:ascii="Century Gothic" w:hAnsi="Century Gothic"/>
          <w:b/>
          <w:bCs/>
          <w:color w:val="538135" w:themeColor="accent6" w:themeShade="BF"/>
        </w:rPr>
        <w:t>and Progression on the Main, Upper and Unqualified Teacher Pay Ranges</w:t>
      </w:r>
      <w:bookmarkEnd w:id="137"/>
      <w:bookmarkEnd w:id="138"/>
      <w:bookmarkEnd w:id="139"/>
      <w:bookmarkEnd w:id="140"/>
      <w:bookmarkEnd w:id="141"/>
    </w:p>
    <w:p w14:paraId="739588F9" w14:textId="2CE6CC6C" w:rsidR="006C6928" w:rsidRPr="0046702C" w:rsidRDefault="3BFCF93D" w:rsidP="006C6928">
      <w:pPr>
        <w:pStyle w:val="EPMSubheading"/>
        <w:rPr>
          <w:rFonts w:ascii="Century Gothic" w:hAnsi="Century Gothic"/>
          <w:color w:val="538135" w:themeColor="accent6" w:themeShade="BF"/>
        </w:rPr>
      </w:pPr>
      <w:bookmarkStart w:id="142" w:name="_Toc21087928"/>
      <w:bookmarkStart w:id="143" w:name="_Toc21097490"/>
      <w:bookmarkStart w:id="144" w:name="_Toc21097728"/>
      <w:bookmarkStart w:id="145" w:name="_Toc118383145"/>
      <w:r w:rsidRPr="0046702C">
        <w:rPr>
          <w:rFonts w:ascii="Century Gothic" w:hAnsi="Century Gothic"/>
          <w:color w:val="538135" w:themeColor="accent6" w:themeShade="BF"/>
        </w:rPr>
        <w:t xml:space="preserve">The Main Pay Range for </w:t>
      </w:r>
      <w:bookmarkEnd w:id="142"/>
      <w:bookmarkEnd w:id="143"/>
      <w:bookmarkEnd w:id="144"/>
      <w:r w:rsidRPr="0046702C">
        <w:rPr>
          <w:rFonts w:ascii="Century Gothic" w:hAnsi="Century Gothic"/>
          <w:color w:val="538135" w:themeColor="accent6" w:themeShade="BF"/>
        </w:rPr>
        <w:t>202</w:t>
      </w:r>
      <w:r w:rsidR="506E2806" w:rsidRPr="0046702C">
        <w:rPr>
          <w:rFonts w:ascii="Century Gothic" w:hAnsi="Century Gothic"/>
          <w:color w:val="538135" w:themeColor="accent6" w:themeShade="BF"/>
        </w:rPr>
        <w:t>3</w:t>
      </w:r>
      <w:bookmarkEnd w:id="145"/>
    </w:p>
    <w:p w14:paraId="4AB4BE47" w14:textId="7CCD7677" w:rsidR="006C6928" w:rsidRPr="0046702C" w:rsidRDefault="3BFCF93D" w:rsidP="006C6928">
      <w:pPr>
        <w:pStyle w:val="EPMTextstyle"/>
        <w:rPr>
          <w:rFonts w:ascii="Century Gothic" w:hAnsi="Century Gothic"/>
          <w:color w:val="538135" w:themeColor="accent6" w:themeShade="BF"/>
        </w:rPr>
      </w:pPr>
      <w:r w:rsidRPr="0046702C">
        <w:rPr>
          <w:rFonts w:ascii="Century Gothic" w:hAnsi="Century Gothic"/>
          <w:color w:val="538135" w:themeColor="accent6" w:themeShade="BF"/>
        </w:rPr>
        <w:t>The salary points for the main pay range 202</w:t>
      </w:r>
      <w:r w:rsidR="756AB610" w:rsidRPr="0046702C">
        <w:rPr>
          <w:rFonts w:ascii="Century Gothic" w:hAnsi="Century Gothic"/>
          <w:color w:val="538135" w:themeColor="accent6" w:themeShade="BF"/>
        </w:rPr>
        <w:t>3</w:t>
      </w:r>
      <w:r w:rsidRPr="0046702C">
        <w:rPr>
          <w:rFonts w:ascii="Century Gothic" w:hAnsi="Century Gothic"/>
          <w:color w:val="538135" w:themeColor="accent6" w:themeShade="BF"/>
        </w:rPr>
        <w:t xml:space="preserve"> are set out below.</w:t>
      </w:r>
    </w:p>
    <w:p w14:paraId="4BCC141B" w14:textId="05CA52EB" w:rsidR="006C6928" w:rsidRPr="0046702C" w:rsidRDefault="3BFCF93D" w:rsidP="006C6928">
      <w:pPr>
        <w:pStyle w:val="EPMBullets"/>
        <w:rPr>
          <w:rFonts w:ascii="Century Gothic" w:hAnsi="Century Gothic"/>
          <w:color w:val="538135" w:themeColor="accent6" w:themeShade="BF"/>
        </w:rPr>
      </w:pPr>
      <w:r w:rsidRPr="0046702C">
        <w:rPr>
          <w:rFonts w:ascii="Century Gothic" w:hAnsi="Century Gothic"/>
          <w:color w:val="538135" w:themeColor="accent6" w:themeShade="BF"/>
        </w:rPr>
        <w:t>£</w:t>
      </w:r>
      <w:r w:rsidR="73899938" w:rsidRPr="0046702C">
        <w:rPr>
          <w:rFonts w:ascii="Century Gothic" w:hAnsi="Century Gothic"/>
          <w:color w:val="538135" w:themeColor="accent6" w:themeShade="BF"/>
        </w:rPr>
        <w:t>30</w:t>
      </w:r>
      <w:r w:rsidRPr="0046702C">
        <w:rPr>
          <w:rFonts w:ascii="Century Gothic" w:hAnsi="Century Gothic"/>
          <w:color w:val="538135" w:themeColor="accent6" w:themeShade="BF"/>
        </w:rPr>
        <w:t>,000 in the Rest of England</w:t>
      </w:r>
    </w:p>
    <w:p w14:paraId="6F2C31E3" w14:textId="09CB4D61" w:rsidR="006C6928" w:rsidRPr="0046702C" w:rsidRDefault="3BFCF93D" w:rsidP="006C6928">
      <w:pPr>
        <w:pStyle w:val="EPMBullets"/>
        <w:rPr>
          <w:rFonts w:ascii="Century Gothic" w:hAnsi="Century Gothic"/>
          <w:color w:val="538135" w:themeColor="accent6" w:themeShade="BF"/>
        </w:rPr>
      </w:pPr>
      <w:r w:rsidRPr="0046702C">
        <w:rPr>
          <w:rFonts w:ascii="Century Gothic" w:hAnsi="Century Gothic"/>
          <w:color w:val="538135" w:themeColor="accent6" w:themeShade="BF"/>
        </w:rPr>
        <w:t>£</w:t>
      </w:r>
      <w:r w:rsidR="7345AFE5" w:rsidRPr="0046702C">
        <w:rPr>
          <w:rFonts w:ascii="Century Gothic" w:hAnsi="Century Gothic"/>
          <w:color w:val="538135" w:themeColor="accent6" w:themeShade="BF"/>
        </w:rPr>
        <w:t>31,350</w:t>
      </w:r>
      <w:r w:rsidRPr="0046702C">
        <w:rPr>
          <w:rFonts w:ascii="Century Gothic" w:hAnsi="Century Gothic"/>
          <w:color w:val="538135" w:themeColor="accent6" w:themeShade="BF"/>
        </w:rPr>
        <w:t xml:space="preserve"> in the Fringe</w:t>
      </w:r>
    </w:p>
    <w:p w14:paraId="0D82C8C1" w14:textId="297C44D8" w:rsidR="006C6928" w:rsidRPr="0046702C" w:rsidRDefault="3BFCF93D" w:rsidP="006C6928">
      <w:pPr>
        <w:pStyle w:val="EPMBullets"/>
        <w:rPr>
          <w:rFonts w:ascii="Century Gothic" w:hAnsi="Century Gothic"/>
          <w:color w:val="538135" w:themeColor="accent6" w:themeShade="BF"/>
        </w:rPr>
      </w:pPr>
      <w:r w:rsidRPr="0046702C">
        <w:rPr>
          <w:rFonts w:ascii="Century Gothic" w:hAnsi="Century Gothic"/>
          <w:color w:val="538135" w:themeColor="accent6" w:themeShade="BF"/>
        </w:rPr>
        <w:t>£</w:t>
      </w:r>
      <w:r w:rsidR="7F6F600E" w:rsidRPr="0046702C">
        <w:rPr>
          <w:rFonts w:ascii="Century Gothic" w:hAnsi="Century Gothic"/>
          <w:color w:val="538135" w:themeColor="accent6" w:themeShade="BF"/>
        </w:rPr>
        <w:t>34,515</w:t>
      </w:r>
      <w:r w:rsidRPr="0046702C">
        <w:rPr>
          <w:rFonts w:ascii="Century Gothic" w:hAnsi="Century Gothic"/>
          <w:color w:val="538135" w:themeColor="accent6" w:themeShade="BF"/>
        </w:rPr>
        <w:t xml:space="preserve"> in Outer London</w:t>
      </w:r>
    </w:p>
    <w:p w14:paraId="6D5C4E2E" w14:textId="3B669ED5" w:rsidR="006C6928" w:rsidRPr="0046702C" w:rsidRDefault="3BFCF93D" w:rsidP="006C6928">
      <w:pPr>
        <w:pStyle w:val="EPMBullets"/>
        <w:rPr>
          <w:rFonts w:ascii="Century Gothic" w:hAnsi="Century Gothic"/>
          <w:color w:val="538135" w:themeColor="accent6" w:themeShade="BF"/>
        </w:rPr>
      </w:pPr>
      <w:r w:rsidRPr="0046702C">
        <w:rPr>
          <w:rFonts w:ascii="Century Gothic" w:hAnsi="Century Gothic"/>
          <w:color w:val="538135" w:themeColor="accent6" w:themeShade="BF"/>
        </w:rPr>
        <w:t>£</w:t>
      </w:r>
      <w:r w:rsidR="1B4B5E9D" w:rsidRPr="0046702C">
        <w:rPr>
          <w:rFonts w:ascii="Century Gothic" w:hAnsi="Century Gothic"/>
          <w:color w:val="538135" w:themeColor="accent6" w:themeShade="BF"/>
        </w:rPr>
        <w:t>36,745</w:t>
      </w:r>
      <w:r w:rsidRPr="0046702C">
        <w:rPr>
          <w:rFonts w:ascii="Century Gothic" w:hAnsi="Century Gothic"/>
          <w:color w:val="538135" w:themeColor="accent6" w:themeShade="BF"/>
        </w:rPr>
        <w:t xml:space="preserve"> in Inner London</w:t>
      </w:r>
    </w:p>
    <w:p w14:paraId="2916982C" w14:textId="0DE23636" w:rsidR="000A08F4" w:rsidRPr="0046702C" w:rsidRDefault="000A08F4" w:rsidP="00467EC9">
      <w:pPr>
        <w:pStyle w:val="EPMSubheading"/>
        <w:rPr>
          <w:rFonts w:ascii="Century Gothic" w:hAnsi="Century Gothic"/>
          <w:color w:val="538135" w:themeColor="accent6" w:themeShade="BF"/>
        </w:rPr>
      </w:pPr>
      <w:bookmarkStart w:id="146" w:name="_Toc21087929"/>
      <w:bookmarkStart w:id="147" w:name="_Toc21097491"/>
      <w:bookmarkStart w:id="148" w:name="_Toc118383146"/>
      <w:r w:rsidRPr="0046702C">
        <w:rPr>
          <w:rFonts w:ascii="Century Gothic" w:hAnsi="Century Gothic"/>
          <w:color w:val="538135" w:themeColor="accent6" w:themeShade="BF"/>
        </w:rPr>
        <w:t>Salary Points on Main Pay Range</w:t>
      </w:r>
      <w:bookmarkEnd w:id="146"/>
      <w:bookmarkEnd w:id="147"/>
      <w:bookmarkEnd w:id="148"/>
    </w:p>
    <w:tbl>
      <w:tblPr>
        <w:tblW w:w="992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8"/>
        <w:gridCol w:w="2936"/>
        <w:gridCol w:w="1294"/>
        <w:gridCol w:w="1295"/>
        <w:gridCol w:w="1421"/>
        <w:gridCol w:w="1559"/>
      </w:tblGrid>
      <w:tr w:rsidR="0046702C" w:rsidRPr="0046702C" w14:paraId="78E73F74" w14:textId="77777777" w:rsidTr="1F5B48DF">
        <w:trPr>
          <w:trHeight w:val="831"/>
        </w:trPr>
        <w:tc>
          <w:tcPr>
            <w:tcW w:w="4354" w:type="dxa"/>
            <w:gridSpan w:val="2"/>
            <w:shd w:val="clear" w:color="auto" w:fill="F0F0EB"/>
            <w:vAlign w:val="center"/>
            <w:hideMark/>
          </w:tcPr>
          <w:p w14:paraId="03245C91" w14:textId="60497A79" w:rsidR="00E27A4C" w:rsidRPr="0046702C" w:rsidRDefault="00E27A4C" w:rsidP="00B96899">
            <w:pPr>
              <w:pStyle w:val="EPMTableHeading"/>
              <w:rPr>
                <w:rFonts w:ascii="Century Gothic" w:hAnsi="Century Gothic"/>
                <w:color w:val="538135" w:themeColor="accent6" w:themeShade="BF"/>
              </w:rPr>
            </w:pPr>
            <w:r w:rsidRPr="0046702C">
              <w:rPr>
                <w:rFonts w:ascii="Century Gothic" w:hAnsi="Century Gothic"/>
                <w:color w:val="538135" w:themeColor="accent6" w:themeShade="BF"/>
              </w:rPr>
              <w:br w:type="page"/>
            </w:r>
          </w:p>
        </w:tc>
        <w:tc>
          <w:tcPr>
            <w:tcW w:w="1294" w:type="dxa"/>
            <w:shd w:val="clear" w:color="auto" w:fill="F0F0EB"/>
            <w:vAlign w:val="center"/>
            <w:hideMark/>
          </w:tcPr>
          <w:p w14:paraId="24FFE94B" w14:textId="77777777" w:rsidR="00E27A4C" w:rsidRPr="0046702C" w:rsidRDefault="53D08B27" w:rsidP="1F5B48DF">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England &amp; Wales</w:t>
            </w:r>
          </w:p>
        </w:tc>
        <w:tc>
          <w:tcPr>
            <w:tcW w:w="1295" w:type="dxa"/>
            <w:shd w:val="clear" w:color="auto" w:fill="F0F0EB"/>
            <w:vAlign w:val="center"/>
            <w:hideMark/>
          </w:tcPr>
          <w:p w14:paraId="08A598B8" w14:textId="3C65A957" w:rsidR="00E27A4C" w:rsidRPr="0046702C" w:rsidRDefault="11CA8E70" w:rsidP="1F5B48DF">
            <w:pPr>
              <w:pStyle w:val="EPMTableHeading"/>
              <w:spacing w:line="259" w:lineRule="auto"/>
              <w:jc w:val="center"/>
              <w:rPr>
                <w:rFonts w:ascii="Century Gothic" w:hAnsi="Century Gothic"/>
                <w:color w:val="538135" w:themeColor="accent6" w:themeShade="BF"/>
              </w:rPr>
            </w:pPr>
            <w:r w:rsidRPr="0046702C">
              <w:rPr>
                <w:rFonts w:ascii="Century Gothic" w:hAnsi="Century Gothic"/>
                <w:color w:val="538135" w:themeColor="accent6" w:themeShade="BF"/>
              </w:rPr>
              <w:t>Fringe</w:t>
            </w:r>
          </w:p>
        </w:tc>
        <w:tc>
          <w:tcPr>
            <w:tcW w:w="1421" w:type="dxa"/>
            <w:shd w:val="clear" w:color="auto" w:fill="F0F0EB"/>
            <w:vAlign w:val="center"/>
            <w:hideMark/>
          </w:tcPr>
          <w:p w14:paraId="53E078B3" w14:textId="77777777" w:rsidR="00E27A4C" w:rsidRPr="0046702C" w:rsidRDefault="53D08B27" w:rsidP="1F5B48DF">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Outer London</w:t>
            </w:r>
          </w:p>
        </w:tc>
        <w:tc>
          <w:tcPr>
            <w:tcW w:w="1559" w:type="dxa"/>
            <w:shd w:val="clear" w:color="auto" w:fill="F0F0EB"/>
            <w:vAlign w:val="center"/>
            <w:hideMark/>
          </w:tcPr>
          <w:p w14:paraId="65834B29" w14:textId="4C6E2DFB" w:rsidR="00E27A4C" w:rsidRPr="0046702C" w:rsidRDefault="0BB779A9" w:rsidP="1F5B48DF">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Inner London</w:t>
            </w:r>
          </w:p>
        </w:tc>
      </w:tr>
      <w:tr w:rsidR="0046702C" w:rsidRPr="0046702C" w14:paraId="15EE326B" w14:textId="77777777" w:rsidTr="1F5B48DF">
        <w:trPr>
          <w:trHeight w:val="360"/>
        </w:trPr>
        <w:tc>
          <w:tcPr>
            <w:tcW w:w="1418" w:type="dxa"/>
            <w:vMerge w:val="restart"/>
            <w:shd w:val="clear" w:color="auto" w:fill="F0F0EB"/>
            <w:vAlign w:val="center"/>
            <w:hideMark/>
          </w:tcPr>
          <w:p w14:paraId="21C40DF8" w14:textId="77777777" w:rsidR="00E27A4C" w:rsidRPr="0046702C" w:rsidRDefault="00E27A4C" w:rsidP="00B96899">
            <w:pPr>
              <w:pStyle w:val="EPMTableHeading"/>
              <w:rPr>
                <w:rFonts w:ascii="Century Gothic" w:hAnsi="Century Gothic"/>
                <w:color w:val="538135" w:themeColor="accent6" w:themeShade="BF"/>
              </w:rPr>
            </w:pPr>
            <w:r w:rsidRPr="0046702C">
              <w:rPr>
                <w:rFonts w:ascii="Century Gothic" w:hAnsi="Century Gothic"/>
                <w:color w:val="538135" w:themeColor="accent6" w:themeShade="BF"/>
              </w:rPr>
              <w:t>Main Pay Range</w:t>
            </w:r>
          </w:p>
        </w:tc>
        <w:tc>
          <w:tcPr>
            <w:tcW w:w="2936" w:type="dxa"/>
            <w:shd w:val="clear" w:color="auto" w:fill="auto"/>
            <w:vAlign w:val="center"/>
            <w:hideMark/>
          </w:tcPr>
          <w:p w14:paraId="79589D29" w14:textId="77777777" w:rsidR="00E27A4C" w:rsidRPr="0046702C" w:rsidRDefault="00E27A4C">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M1 (MPR minimum)</w:t>
            </w:r>
          </w:p>
        </w:tc>
        <w:tc>
          <w:tcPr>
            <w:tcW w:w="1294" w:type="dxa"/>
            <w:shd w:val="clear" w:color="auto" w:fill="auto"/>
            <w:vAlign w:val="center"/>
          </w:tcPr>
          <w:p w14:paraId="57922554" w14:textId="5FA5AB8E" w:rsidR="00E27A4C" w:rsidRPr="0046702C" w:rsidRDefault="3B2144D7">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30</w:t>
            </w:r>
            <w:r w:rsidR="53D08B27" w:rsidRPr="0046702C">
              <w:rPr>
                <w:rFonts w:ascii="Century Gothic" w:hAnsi="Century Gothic"/>
                <w:color w:val="538135" w:themeColor="accent6" w:themeShade="BF"/>
                <w:sz w:val="21"/>
                <w:szCs w:val="21"/>
              </w:rPr>
              <w:t>,000</w:t>
            </w:r>
          </w:p>
        </w:tc>
        <w:tc>
          <w:tcPr>
            <w:tcW w:w="1295" w:type="dxa"/>
            <w:shd w:val="clear" w:color="auto" w:fill="auto"/>
            <w:vAlign w:val="center"/>
          </w:tcPr>
          <w:p w14:paraId="1CAEF60A" w14:textId="6AE80796" w:rsidR="00E27A4C" w:rsidRPr="0046702C" w:rsidRDefault="53D08B27">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w:t>
            </w:r>
            <w:r w:rsidR="1CA9F91E" w:rsidRPr="0046702C">
              <w:rPr>
                <w:rFonts w:ascii="Century Gothic" w:hAnsi="Century Gothic"/>
                <w:color w:val="538135" w:themeColor="accent6" w:themeShade="BF"/>
                <w:sz w:val="21"/>
                <w:szCs w:val="21"/>
              </w:rPr>
              <w:t>1,350</w:t>
            </w:r>
          </w:p>
        </w:tc>
        <w:tc>
          <w:tcPr>
            <w:tcW w:w="1421" w:type="dxa"/>
            <w:shd w:val="clear" w:color="auto" w:fill="auto"/>
            <w:vAlign w:val="center"/>
          </w:tcPr>
          <w:p w14:paraId="7F218E08" w14:textId="3BD60343" w:rsidR="00E27A4C" w:rsidRPr="0046702C" w:rsidRDefault="4F9F73E4" w:rsidP="1F5B48DF">
            <w:pPr>
              <w:spacing w:before="60" w:after="60" w:line="259" w:lineRule="auto"/>
              <w:jc w:val="center"/>
              <w:rPr>
                <w:rFonts w:ascii="Century Gothic" w:hAnsi="Century Gothic"/>
                <w:color w:val="538135" w:themeColor="accent6" w:themeShade="BF"/>
              </w:rPr>
            </w:pPr>
            <w:r w:rsidRPr="0046702C">
              <w:rPr>
                <w:rFonts w:ascii="Century Gothic" w:hAnsi="Century Gothic"/>
                <w:color w:val="538135" w:themeColor="accent6" w:themeShade="BF"/>
                <w:sz w:val="21"/>
                <w:szCs w:val="21"/>
              </w:rPr>
              <w:t>34,514</w:t>
            </w:r>
          </w:p>
        </w:tc>
        <w:tc>
          <w:tcPr>
            <w:tcW w:w="1559" w:type="dxa"/>
            <w:shd w:val="clear" w:color="auto" w:fill="auto"/>
            <w:vAlign w:val="center"/>
          </w:tcPr>
          <w:p w14:paraId="4552D625" w14:textId="359B3791" w:rsidR="00E27A4C" w:rsidRPr="0046702C" w:rsidRDefault="4F9F73E4" w:rsidP="1F5B48DF">
            <w:pPr>
              <w:spacing w:before="60" w:after="60" w:line="259" w:lineRule="auto"/>
              <w:jc w:val="center"/>
              <w:rPr>
                <w:rFonts w:ascii="Century Gothic" w:hAnsi="Century Gothic"/>
                <w:color w:val="538135" w:themeColor="accent6" w:themeShade="BF"/>
              </w:rPr>
            </w:pPr>
            <w:r w:rsidRPr="0046702C">
              <w:rPr>
                <w:rFonts w:ascii="Century Gothic" w:hAnsi="Century Gothic"/>
                <w:color w:val="538135" w:themeColor="accent6" w:themeShade="BF"/>
                <w:sz w:val="21"/>
                <w:szCs w:val="21"/>
              </w:rPr>
              <w:t>36,745</w:t>
            </w:r>
          </w:p>
        </w:tc>
      </w:tr>
      <w:tr w:rsidR="0046702C" w:rsidRPr="0046702C" w14:paraId="105B9427" w14:textId="77777777" w:rsidTr="1F5B48DF">
        <w:trPr>
          <w:trHeight w:val="360"/>
        </w:trPr>
        <w:tc>
          <w:tcPr>
            <w:tcW w:w="1418" w:type="dxa"/>
            <w:vMerge/>
            <w:vAlign w:val="center"/>
          </w:tcPr>
          <w:p w14:paraId="6E10F8B4" w14:textId="77777777" w:rsidR="00E27A4C" w:rsidRPr="0046702C" w:rsidRDefault="00E27A4C">
            <w:pPr>
              <w:spacing w:before="60" w:after="60"/>
              <w:rPr>
                <w:rFonts w:ascii="Century Gothic" w:hAnsi="Century Gothic"/>
                <w:color w:val="538135" w:themeColor="accent6" w:themeShade="BF"/>
                <w:sz w:val="21"/>
                <w:szCs w:val="21"/>
              </w:rPr>
            </w:pPr>
          </w:p>
        </w:tc>
        <w:tc>
          <w:tcPr>
            <w:tcW w:w="2936" w:type="dxa"/>
            <w:shd w:val="clear" w:color="auto" w:fill="auto"/>
            <w:vAlign w:val="center"/>
          </w:tcPr>
          <w:p w14:paraId="1C21F652" w14:textId="77777777" w:rsidR="00E27A4C" w:rsidRPr="0046702C" w:rsidRDefault="00E27A4C">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M2</w:t>
            </w:r>
          </w:p>
        </w:tc>
        <w:tc>
          <w:tcPr>
            <w:tcW w:w="1294" w:type="dxa"/>
            <w:shd w:val="clear" w:color="auto" w:fill="auto"/>
            <w:vAlign w:val="center"/>
          </w:tcPr>
          <w:p w14:paraId="5DF3750A" w14:textId="7F61BD05" w:rsidR="00E27A4C" w:rsidRPr="0046702C" w:rsidRDefault="20A3F2A7">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31,737</w:t>
            </w:r>
          </w:p>
        </w:tc>
        <w:tc>
          <w:tcPr>
            <w:tcW w:w="1295" w:type="dxa"/>
            <w:shd w:val="clear" w:color="auto" w:fill="auto"/>
            <w:vAlign w:val="center"/>
          </w:tcPr>
          <w:p w14:paraId="5FDDE4E3" w14:textId="1CF5FE7A" w:rsidR="00E27A4C" w:rsidRPr="0046702C" w:rsidRDefault="79880302">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33,150</w:t>
            </w:r>
          </w:p>
        </w:tc>
        <w:tc>
          <w:tcPr>
            <w:tcW w:w="1421" w:type="dxa"/>
            <w:shd w:val="clear" w:color="auto" w:fill="auto"/>
            <w:vAlign w:val="center"/>
          </w:tcPr>
          <w:p w14:paraId="5EA2B3A7" w14:textId="618CFD05" w:rsidR="00E27A4C" w:rsidRPr="0046702C" w:rsidRDefault="79880302">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36,320</w:t>
            </w:r>
          </w:p>
        </w:tc>
        <w:tc>
          <w:tcPr>
            <w:tcW w:w="1559" w:type="dxa"/>
            <w:shd w:val="clear" w:color="auto" w:fill="auto"/>
            <w:vAlign w:val="center"/>
          </w:tcPr>
          <w:p w14:paraId="22D2E9AF" w14:textId="346C46D1" w:rsidR="00E27A4C" w:rsidRPr="0046702C" w:rsidRDefault="79880302">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28,491</w:t>
            </w:r>
          </w:p>
        </w:tc>
      </w:tr>
      <w:tr w:rsidR="0046702C" w:rsidRPr="0046702C" w14:paraId="44BC1552" w14:textId="77777777" w:rsidTr="1F5B48DF">
        <w:trPr>
          <w:trHeight w:val="360"/>
        </w:trPr>
        <w:tc>
          <w:tcPr>
            <w:tcW w:w="1418" w:type="dxa"/>
            <w:vMerge/>
            <w:vAlign w:val="center"/>
          </w:tcPr>
          <w:p w14:paraId="244F4AC6" w14:textId="77777777" w:rsidR="00E27A4C" w:rsidRPr="0046702C" w:rsidRDefault="00E27A4C">
            <w:pPr>
              <w:spacing w:before="60" w:after="60"/>
              <w:rPr>
                <w:rFonts w:ascii="Century Gothic" w:hAnsi="Century Gothic"/>
                <w:color w:val="538135" w:themeColor="accent6" w:themeShade="BF"/>
                <w:sz w:val="21"/>
                <w:szCs w:val="21"/>
              </w:rPr>
            </w:pPr>
          </w:p>
        </w:tc>
        <w:tc>
          <w:tcPr>
            <w:tcW w:w="2936" w:type="dxa"/>
            <w:shd w:val="clear" w:color="auto" w:fill="auto"/>
            <w:vAlign w:val="center"/>
          </w:tcPr>
          <w:p w14:paraId="10F46706" w14:textId="77777777" w:rsidR="00E27A4C" w:rsidRPr="0046702C" w:rsidRDefault="00E27A4C">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M3</w:t>
            </w:r>
          </w:p>
        </w:tc>
        <w:tc>
          <w:tcPr>
            <w:tcW w:w="1294" w:type="dxa"/>
            <w:shd w:val="clear" w:color="auto" w:fill="auto"/>
            <w:vAlign w:val="center"/>
          </w:tcPr>
          <w:p w14:paraId="0B210389" w14:textId="7E458371" w:rsidR="00E27A4C" w:rsidRPr="0046702C" w:rsidRDefault="5CB9FE18">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33,814</w:t>
            </w:r>
          </w:p>
        </w:tc>
        <w:tc>
          <w:tcPr>
            <w:tcW w:w="1295" w:type="dxa"/>
            <w:shd w:val="clear" w:color="auto" w:fill="auto"/>
            <w:vAlign w:val="center"/>
          </w:tcPr>
          <w:p w14:paraId="0C9154A5" w14:textId="1FCCE15B" w:rsidR="00E27A4C" w:rsidRPr="0046702C" w:rsidRDefault="5CB9FE18">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35,204</w:t>
            </w:r>
          </w:p>
        </w:tc>
        <w:tc>
          <w:tcPr>
            <w:tcW w:w="1421" w:type="dxa"/>
            <w:shd w:val="clear" w:color="auto" w:fill="auto"/>
            <w:vAlign w:val="center"/>
          </w:tcPr>
          <w:p w14:paraId="3E69086C" w14:textId="6EB658FB" w:rsidR="00E27A4C" w:rsidRPr="0046702C" w:rsidRDefault="5CB9FE18">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38,219</w:t>
            </w:r>
          </w:p>
        </w:tc>
        <w:tc>
          <w:tcPr>
            <w:tcW w:w="1559" w:type="dxa"/>
            <w:shd w:val="clear" w:color="auto" w:fill="auto"/>
            <w:vAlign w:val="center"/>
          </w:tcPr>
          <w:p w14:paraId="5E74DFD7" w14:textId="19FBA74E" w:rsidR="00E27A4C" w:rsidRPr="0046702C" w:rsidRDefault="5CB9FE18">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40,318</w:t>
            </w:r>
          </w:p>
        </w:tc>
      </w:tr>
      <w:tr w:rsidR="0046702C" w:rsidRPr="0046702C" w14:paraId="4764A29C" w14:textId="77777777" w:rsidTr="1F5B48DF">
        <w:trPr>
          <w:trHeight w:val="360"/>
        </w:trPr>
        <w:tc>
          <w:tcPr>
            <w:tcW w:w="1418" w:type="dxa"/>
            <w:vMerge/>
            <w:vAlign w:val="center"/>
          </w:tcPr>
          <w:p w14:paraId="7E8AB8F0" w14:textId="77777777" w:rsidR="00E27A4C" w:rsidRPr="0046702C" w:rsidRDefault="00E27A4C">
            <w:pPr>
              <w:spacing w:before="60" w:after="60"/>
              <w:rPr>
                <w:rFonts w:ascii="Century Gothic" w:hAnsi="Century Gothic"/>
                <w:color w:val="538135" w:themeColor="accent6" w:themeShade="BF"/>
                <w:sz w:val="21"/>
                <w:szCs w:val="21"/>
              </w:rPr>
            </w:pPr>
          </w:p>
        </w:tc>
        <w:tc>
          <w:tcPr>
            <w:tcW w:w="2936" w:type="dxa"/>
            <w:shd w:val="clear" w:color="auto" w:fill="auto"/>
            <w:vAlign w:val="center"/>
          </w:tcPr>
          <w:p w14:paraId="2AE5BA56" w14:textId="77777777" w:rsidR="00E27A4C" w:rsidRPr="0046702C" w:rsidRDefault="00E27A4C">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M4</w:t>
            </w:r>
          </w:p>
        </w:tc>
        <w:tc>
          <w:tcPr>
            <w:tcW w:w="1294" w:type="dxa"/>
            <w:shd w:val="clear" w:color="auto" w:fill="auto"/>
            <w:vAlign w:val="center"/>
          </w:tcPr>
          <w:p w14:paraId="4A2A457D" w14:textId="1DC8BBCD" w:rsidR="00E27A4C" w:rsidRPr="0046702C" w:rsidRDefault="0BE2A6AF">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36,051</w:t>
            </w:r>
          </w:p>
        </w:tc>
        <w:tc>
          <w:tcPr>
            <w:tcW w:w="1295" w:type="dxa"/>
            <w:shd w:val="clear" w:color="auto" w:fill="auto"/>
            <w:vAlign w:val="center"/>
          </w:tcPr>
          <w:p w14:paraId="52B8BADB" w14:textId="2D3F9CC2" w:rsidR="00E27A4C" w:rsidRPr="0046702C" w:rsidRDefault="0BE2A6AF">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37,436</w:t>
            </w:r>
          </w:p>
        </w:tc>
        <w:tc>
          <w:tcPr>
            <w:tcW w:w="1421" w:type="dxa"/>
            <w:shd w:val="clear" w:color="auto" w:fill="auto"/>
            <w:vAlign w:val="center"/>
          </w:tcPr>
          <w:p w14:paraId="13E5335C" w14:textId="1AD13640" w:rsidR="00E27A4C" w:rsidRPr="0046702C" w:rsidRDefault="0BE2A6AF">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40,218</w:t>
            </w:r>
          </w:p>
        </w:tc>
        <w:tc>
          <w:tcPr>
            <w:tcW w:w="1559" w:type="dxa"/>
            <w:shd w:val="clear" w:color="auto" w:fill="auto"/>
            <w:vAlign w:val="center"/>
          </w:tcPr>
          <w:p w14:paraId="5AF0150E" w14:textId="76CFD275" w:rsidR="00E27A4C" w:rsidRPr="0046702C" w:rsidRDefault="0BE2A6AF">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42,233</w:t>
            </w:r>
          </w:p>
        </w:tc>
      </w:tr>
      <w:tr w:rsidR="0046702C" w:rsidRPr="0046702C" w14:paraId="28F7AF25" w14:textId="77777777" w:rsidTr="1F5B48DF">
        <w:trPr>
          <w:trHeight w:val="360"/>
        </w:trPr>
        <w:tc>
          <w:tcPr>
            <w:tcW w:w="1418" w:type="dxa"/>
            <w:vMerge/>
            <w:vAlign w:val="center"/>
          </w:tcPr>
          <w:p w14:paraId="7ABF236B" w14:textId="77777777" w:rsidR="00E27A4C" w:rsidRPr="0046702C" w:rsidRDefault="00E27A4C">
            <w:pPr>
              <w:spacing w:before="60" w:after="60"/>
              <w:rPr>
                <w:rFonts w:ascii="Century Gothic" w:hAnsi="Century Gothic"/>
                <w:color w:val="538135" w:themeColor="accent6" w:themeShade="BF"/>
                <w:sz w:val="21"/>
                <w:szCs w:val="21"/>
              </w:rPr>
            </w:pPr>
          </w:p>
        </w:tc>
        <w:tc>
          <w:tcPr>
            <w:tcW w:w="2936" w:type="dxa"/>
            <w:shd w:val="clear" w:color="auto" w:fill="auto"/>
            <w:vAlign w:val="center"/>
          </w:tcPr>
          <w:p w14:paraId="11BEBD87" w14:textId="77777777" w:rsidR="00E27A4C" w:rsidRPr="0046702C" w:rsidRDefault="00E27A4C">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M5</w:t>
            </w:r>
          </w:p>
        </w:tc>
        <w:tc>
          <w:tcPr>
            <w:tcW w:w="1294" w:type="dxa"/>
            <w:shd w:val="clear" w:color="auto" w:fill="auto"/>
            <w:vAlign w:val="center"/>
          </w:tcPr>
          <w:p w14:paraId="5D79AF0B" w14:textId="11B29E04" w:rsidR="00E27A4C" w:rsidRPr="0046702C" w:rsidRDefault="2830F50C">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38,330</w:t>
            </w:r>
          </w:p>
        </w:tc>
        <w:tc>
          <w:tcPr>
            <w:tcW w:w="1295" w:type="dxa"/>
            <w:shd w:val="clear" w:color="auto" w:fill="auto"/>
            <w:vAlign w:val="center"/>
          </w:tcPr>
          <w:p w14:paraId="203D3262" w14:textId="088E0B6D" w:rsidR="00E27A4C" w:rsidRPr="0046702C" w:rsidRDefault="2830F50C">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39,687</w:t>
            </w:r>
          </w:p>
        </w:tc>
        <w:tc>
          <w:tcPr>
            <w:tcW w:w="1421" w:type="dxa"/>
            <w:shd w:val="clear" w:color="auto" w:fill="auto"/>
            <w:vAlign w:val="center"/>
          </w:tcPr>
          <w:p w14:paraId="66C296F7" w14:textId="54A3A1D4" w:rsidR="00E27A4C" w:rsidRPr="0046702C" w:rsidRDefault="23A65C41">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42,654</w:t>
            </w:r>
          </w:p>
        </w:tc>
        <w:tc>
          <w:tcPr>
            <w:tcW w:w="1559" w:type="dxa"/>
            <w:shd w:val="clear" w:color="auto" w:fill="auto"/>
            <w:vAlign w:val="center"/>
          </w:tcPr>
          <w:p w14:paraId="522678DE" w14:textId="69146CC8" w:rsidR="00E27A4C" w:rsidRPr="0046702C" w:rsidRDefault="23A65C41">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44,615</w:t>
            </w:r>
          </w:p>
        </w:tc>
      </w:tr>
      <w:tr w:rsidR="0046702C" w:rsidRPr="0046702C" w14:paraId="2F128632" w14:textId="77777777" w:rsidTr="1F5B48DF">
        <w:trPr>
          <w:trHeight w:val="360"/>
        </w:trPr>
        <w:tc>
          <w:tcPr>
            <w:tcW w:w="1418" w:type="dxa"/>
            <w:vMerge/>
            <w:vAlign w:val="center"/>
            <w:hideMark/>
          </w:tcPr>
          <w:p w14:paraId="4106F7C2" w14:textId="77777777" w:rsidR="00E27A4C" w:rsidRPr="0046702C" w:rsidRDefault="00E27A4C">
            <w:pPr>
              <w:spacing w:before="60" w:after="60"/>
              <w:rPr>
                <w:rFonts w:ascii="Century Gothic" w:hAnsi="Century Gothic"/>
                <w:color w:val="538135" w:themeColor="accent6" w:themeShade="BF"/>
                <w:sz w:val="21"/>
                <w:szCs w:val="21"/>
              </w:rPr>
            </w:pPr>
          </w:p>
        </w:tc>
        <w:tc>
          <w:tcPr>
            <w:tcW w:w="2936" w:type="dxa"/>
            <w:shd w:val="clear" w:color="auto" w:fill="auto"/>
            <w:vAlign w:val="center"/>
            <w:hideMark/>
          </w:tcPr>
          <w:p w14:paraId="435B94BC" w14:textId="77777777" w:rsidR="00E27A4C" w:rsidRPr="0046702C" w:rsidRDefault="00E27A4C">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M6 (MPR maximum)</w:t>
            </w:r>
          </w:p>
        </w:tc>
        <w:tc>
          <w:tcPr>
            <w:tcW w:w="1294" w:type="dxa"/>
            <w:shd w:val="clear" w:color="auto" w:fill="auto"/>
            <w:vAlign w:val="center"/>
          </w:tcPr>
          <w:p w14:paraId="2B65C02C" w14:textId="7AAF0777" w:rsidR="00E27A4C" w:rsidRPr="0046702C" w:rsidRDefault="5BC5760D">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41,333</w:t>
            </w:r>
          </w:p>
        </w:tc>
        <w:tc>
          <w:tcPr>
            <w:tcW w:w="1295" w:type="dxa"/>
            <w:shd w:val="clear" w:color="auto" w:fill="auto"/>
            <w:vAlign w:val="center"/>
          </w:tcPr>
          <w:p w14:paraId="798A2395" w14:textId="0FA5BDE9" w:rsidR="00E27A4C" w:rsidRPr="0046702C" w:rsidRDefault="5BC5760D">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42,689</w:t>
            </w:r>
          </w:p>
        </w:tc>
        <w:tc>
          <w:tcPr>
            <w:tcW w:w="1421" w:type="dxa"/>
            <w:shd w:val="clear" w:color="auto" w:fill="auto"/>
            <w:vAlign w:val="center"/>
          </w:tcPr>
          <w:p w14:paraId="438415E5" w14:textId="0D7464C1" w:rsidR="00E27A4C" w:rsidRPr="0046702C" w:rsidRDefault="5BC5760D">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46,001</w:t>
            </w:r>
          </w:p>
        </w:tc>
        <w:tc>
          <w:tcPr>
            <w:tcW w:w="1559" w:type="dxa"/>
            <w:shd w:val="clear" w:color="auto" w:fill="auto"/>
            <w:vAlign w:val="center"/>
          </w:tcPr>
          <w:p w14:paraId="3D48DB51" w14:textId="3B93147F" w:rsidR="00E27A4C" w:rsidRPr="0046702C" w:rsidRDefault="5BC5760D">
            <w:pPr>
              <w:spacing w:before="60" w:after="60"/>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47,666</w:t>
            </w:r>
          </w:p>
        </w:tc>
      </w:tr>
    </w:tbl>
    <w:p w14:paraId="48DA93E4" w14:textId="24FF15E4" w:rsidR="000652A5" w:rsidRPr="0046702C" w:rsidRDefault="000652A5" w:rsidP="00467EC9">
      <w:pPr>
        <w:pStyle w:val="EPMSubheading"/>
        <w:rPr>
          <w:rFonts w:ascii="Century Gothic" w:hAnsi="Century Gothic"/>
          <w:color w:val="538135" w:themeColor="accent6" w:themeShade="BF"/>
        </w:rPr>
      </w:pPr>
      <w:bookmarkStart w:id="149" w:name="_Toc21087930"/>
      <w:bookmarkStart w:id="150" w:name="_Toc21097492"/>
      <w:bookmarkStart w:id="151" w:name="_Toc118383147"/>
      <w:r w:rsidRPr="0046702C">
        <w:rPr>
          <w:rFonts w:ascii="Century Gothic" w:hAnsi="Century Gothic"/>
          <w:color w:val="538135" w:themeColor="accent6" w:themeShade="BF"/>
        </w:rPr>
        <w:t>Salary Points on Upper Pay Range</w:t>
      </w:r>
      <w:bookmarkEnd w:id="149"/>
      <w:bookmarkEnd w:id="150"/>
      <w:bookmarkEnd w:id="151"/>
    </w:p>
    <w:tbl>
      <w:tblPr>
        <w:tblW w:w="992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2086"/>
        <w:gridCol w:w="1458"/>
        <w:gridCol w:w="1418"/>
        <w:gridCol w:w="1275"/>
        <w:gridCol w:w="1418"/>
      </w:tblGrid>
      <w:tr w:rsidR="0046702C" w:rsidRPr="0046702C" w14:paraId="2906FE25" w14:textId="77777777" w:rsidTr="1F5B48DF">
        <w:trPr>
          <w:trHeight w:val="537"/>
        </w:trPr>
        <w:tc>
          <w:tcPr>
            <w:tcW w:w="4354" w:type="dxa"/>
            <w:gridSpan w:val="2"/>
            <w:vMerge w:val="restart"/>
            <w:shd w:val="clear" w:color="auto" w:fill="F0F0EB"/>
            <w:vAlign w:val="center"/>
            <w:hideMark/>
          </w:tcPr>
          <w:p w14:paraId="79469786" w14:textId="78821A07" w:rsidR="000675EA" w:rsidRPr="0046702C" w:rsidRDefault="000675EA" w:rsidP="000675EA">
            <w:pPr>
              <w:pStyle w:val="EPMTableHeading"/>
              <w:rPr>
                <w:rFonts w:ascii="Century Gothic" w:hAnsi="Century Gothic"/>
                <w:color w:val="538135" w:themeColor="accent6" w:themeShade="BF"/>
              </w:rPr>
            </w:pPr>
            <w:r w:rsidRPr="0046702C">
              <w:rPr>
                <w:rFonts w:ascii="Century Gothic" w:hAnsi="Century Gothic"/>
                <w:color w:val="538135" w:themeColor="accent6" w:themeShade="BF"/>
              </w:rPr>
              <w:br w:type="page"/>
            </w:r>
          </w:p>
        </w:tc>
        <w:tc>
          <w:tcPr>
            <w:tcW w:w="1458" w:type="dxa"/>
            <w:vMerge w:val="restart"/>
            <w:shd w:val="clear" w:color="auto" w:fill="F0F0EB"/>
            <w:vAlign w:val="center"/>
            <w:hideMark/>
          </w:tcPr>
          <w:p w14:paraId="242FF74D" w14:textId="77777777" w:rsidR="000675EA" w:rsidRPr="0046702C" w:rsidRDefault="2ED3FB9D" w:rsidP="1F5B48DF">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England &amp; Wales</w:t>
            </w:r>
          </w:p>
        </w:tc>
        <w:tc>
          <w:tcPr>
            <w:tcW w:w="1418" w:type="dxa"/>
            <w:vMerge w:val="restart"/>
            <w:shd w:val="clear" w:color="auto" w:fill="F0F0EB"/>
            <w:vAlign w:val="center"/>
            <w:hideMark/>
          </w:tcPr>
          <w:p w14:paraId="5F2F161E" w14:textId="0392D3F5" w:rsidR="000675EA" w:rsidRPr="0046702C" w:rsidRDefault="6BEE7D81" w:rsidP="1F5B48DF">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Fringe</w:t>
            </w:r>
          </w:p>
        </w:tc>
        <w:tc>
          <w:tcPr>
            <w:tcW w:w="1275" w:type="dxa"/>
            <w:vMerge w:val="restart"/>
            <w:shd w:val="clear" w:color="auto" w:fill="F0F0EB"/>
            <w:vAlign w:val="center"/>
            <w:hideMark/>
          </w:tcPr>
          <w:p w14:paraId="2C70723D" w14:textId="77777777" w:rsidR="000675EA" w:rsidRPr="0046702C" w:rsidRDefault="2ED3FB9D" w:rsidP="1F5B48DF">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Outer London</w:t>
            </w:r>
          </w:p>
        </w:tc>
        <w:tc>
          <w:tcPr>
            <w:tcW w:w="1418" w:type="dxa"/>
            <w:vMerge w:val="restart"/>
            <w:shd w:val="clear" w:color="auto" w:fill="F0F0EB"/>
            <w:vAlign w:val="center"/>
            <w:hideMark/>
          </w:tcPr>
          <w:p w14:paraId="70DB52DE" w14:textId="2DAFE699" w:rsidR="000675EA" w:rsidRPr="0046702C" w:rsidRDefault="4E5C7A30" w:rsidP="1F5B48DF">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Inner London</w:t>
            </w:r>
          </w:p>
        </w:tc>
      </w:tr>
      <w:tr w:rsidR="0046702C" w:rsidRPr="0046702C" w14:paraId="21C33918" w14:textId="77777777" w:rsidTr="1F5B48DF">
        <w:trPr>
          <w:trHeight w:val="537"/>
        </w:trPr>
        <w:tc>
          <w:tcPr>
            <w:tcW w:w="4354" w:type="dxa"/>
            <w:gridSpan w:val="2"/>
            <w:vMerge/>
            <w:vAlign w:val="center"/>
            <w:hideMark/>
          </w:tcPr>
          <w:p w14:paraId="0C508FB6" w14:textId="77777777" w:rsidR="000675EA" w:rsidRPr="0046702C" w:rsidRDefault="000675EA">
            <w:pPr>
              <w:spacing w:before="60" w:after="60"/>
              <w:jc w:val="both"/>
              <w:rPr>
                <w:rFonts w:ascii="Century Gothic" w:hAnsi="Century Gothic"/>
                <w:color w:val="538135" w:themeColor="accent6" w:themeShade="BF"/>
              </w:rPr>
            </w:pPr>
          </w:p>
        </w:tc>
        <w:tc>
          <w:tcPr>
            <w:tcW w:w="1458" w:type="dxa"/>
            <w:vMerge/>
            <w:vAlign w:val="center"/>
            <w:hideMark/>
          </w:tcPr>
          <w:p w14:paraId="09A5EA6C" w14:textId="77777777" w:rsidR="000675EA" w:rsidRPr="0046702C" w:rsidRDefault="000675EA">
            <w:pPr>
              <w:spacing w:before="60" w:after="60"/>
              <w:jc w:val="both"/>
              <w:rPr>
                <w:rFonts w:ascii="Century Gothic" w:hAnsi="Century Gothic"/>
                <w:color w:val="538135" w:themeColor="accent6" w:themeShade="BF"/>
              </w:rPr>
            </w:pPr>
          </w:p>
        </w:tc>
        <w:tc>
          <w:tcPr>
            <w:tcW w:w="1418" w:type="dxa"/>
            <w:vMerge/>
            <w:vAlign w:val="center"/>
            <w:hideMark/>
          </w:tcPr>
          <w:p w14:paraId="3D1EF8A4" w14:textId="77777777" w:rsidR="000675EA" w:rsidRPr="0046702C" w:rsidRDefault="000675EA">
            <w:pPr>
              <w:spacing w:before="60" w:after="60"/>
              <w:jc w:val="both"/>
              <w:rPr>
                <w:rFonts w:ascii="Century Gothic" w:hAnsi="Century Gothic"/>
                <w:color w:val="538135" w:themeColor="accent6" w:themeShade="BF"/>
              </w:rPr>
            </w:pPr>
          </w:p>
        </w:tc>
        <w:tc>
          <w:tcPr>
            <w:tcW w:w="1275" w:type="dxa"/>
            <w:vMerge/>
            <w:vAlign w:val="center"/>
            <w:hideMark/>
          </w:tcPr>
          <w:p w14:paraId="68358963" w14:textId="77777777" w:rsidR="000675EA" w:rsidRPr="0046702C" w:rsidRDefault="000675EA">
            <w:pPr>
              <w:spacing w:before="60" w:after="60"/>
              <w:jc w:val="both"/>
              <w:rPr>
                <w:rFonts w:ascii="Century Gothic" w:hAnsi="Century Gothic"/>
                <w:color w:val="538135" w:themeColor="accent6" w:themeShade="BF"/>
              </w:rPr>
            </w:pPr>
          </w:p>
        </w:tc>
        <w:tc>
          <w:tcPr>
            <w:tcW w:w="1418" w:type="dxa"/>
            <w:vMerge/>
            <w:vAlign w:val="center"/>
            <w:hideMark/>
          </w:tcPr>
          <w:p w14:paraId="68E484B0" w14:textId="77777777" w:rsidR="000675EA" w:rsidRPr="0046702C" w:rsidRDefault="000675EA">
            <w:pPr>
              <w:spacing w:before="60" w:after="60"/>
              <w:jc w:val="both"/>
              <w:rPr>
                <w:rFonts w:ascii="Century Gothic" w:hAnsi="Century Gothic"/>
                <w:color w:val="538135" w:themeColor="accent6" w:themeShade="BF"/>
              </w:rPr>
            </w:pPr>
          </w:p>
        </w:tc>
      </w:tr>
      <w:tr w:rsidR="0046702C" w:rsidRPr="0046702C" w14:paraId="3F5F2AE6" w14:textId="77777777" w:rsidTr="1F5B48DF">
        <w:trPr>
          <w:trHeight w:val="360"/>
        </w:trPr>
        <w:tc>
          <w:tcPr>
            <w:tcW w:w="2268" w:type="dxa"/>
            <w:vMerge w:val="restart"/>
            <w:shd w:val="clear" w:color="auto" w:fill="F0F0EB"/>
            <w:vAlign w:val="center"/>
            <w:hideMark/>
          </w:tcPr>
          <w:p w14:paraId="5972096F" w14:textId="77777777" w:rsidR="000675EA" w:rsidRPr="0046702C" w:rsidRDefault="000675EA" w:rsidP="000675EA">
            <w:pPr>
              <w:pStyle w:val="EPMTableHeading"/>
              <w:rPr>
                <w:rFonts w:ascii="Century Gothic" w:hAnsi="Century Gothic"/>
                <w:color w:val="538135" w:themeColor="accent6" w:themeShade="BF"/>
              </w:rPr>
            </w:pPr>
            <w:r w:rsidRPr="0046702C">
              <w:rPr>
                <w:rFonts w:ascii="Century Gothic" w:hAnsi="Century Gothic"/>
                <w:color w:val="538135" w:themeColor="accent6" w:themeShade="BF"/>
              </w:rPr>
              <w:t xml:space="preserve">Upper Pay Range </w:t>
            </w:r>
          </w:p>
        </w:tc>
        <w:tc>
          <w:tcPr>
            <w:tcW w:w="2086" w:type="dxa"/>
            <w:shd w:val="clear" w:color="auto" w:fill="auto"/>
            <w:vAlign w:val="center"/>
            <w:hideMark/>
          </w:tcPr>
          <w:p w14:paraId="06E0DE9D" w14:textId="77777777" w:rsidR="000675EA" w:rsidRPr="0046702C" w:rsidRDefault="000675EA">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U1 (UPR Minimum)</w:t>
            </w:r>
          </w:p>
        </w:tc>
        <w:tc>
          <w:tcPr>
            <w:tcW w:w="1458" w:type="dxa"/>
            <w:shd w:val="clear" w:color="auto" w:fill="auto"/>
            <w:vAlign w:val="center"/>
          </w:tcPr>
          <w:p w14:paraId="14B606E3" w14:textId="6F6DD1DD"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43,266</w:t>
            </w:r>
          </w:p>
        </w:tc>
        <w:tc>
          <w:tcPr>
            <w:tcW w:w="1418" w:type="dxa"/>
            <w:shd w:val="clear" w:color="auto" w:fill="auto"/>
            <w:vAlign w:val="center"/>
          </w:tcPr>
          <w:p w14:paraId="6D4BA561" w14:textId="47A587AE"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44,579</w:t>
            </w:r>
          </w:p>
        </w:tc>
        <w:tc>
          <w:tcPr>
            <w:tcW w:w="1275" w:type="dxa"/>
            <w:shd w:val="clear" w:color="auto" w:fill="auto"/>
            <w:vAlign w:val="center"/>
          </w:tcPr>
          <w:p w14:paraId="038B89B8" w14:textId="45A59045"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47,592</w:t>
            </w:r>
          </w:p>
        </w:tc>
        <w:tc>
          <w:tcPr>
            <w:tcW w:w="1418" w:type="dxa"/>
            <w:shd w:val="clear" w:color="auto" w:fill="auto"/>
            <w:vAlign w:val="center"/>
          </w:tcPr>
          <w:p w14:paraId="59245F17" w14:textId="6EA0E92B"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52,526</w:t>
            </w:r>
          </w:p>
        </w:tc>
      </w:tr>
      <w:tr w:rsidR="0046702C" w:rsidRPr="0046702C" w:rsidDel="006B5070" w14:paraId="11BE9896" w14:textId="77777777" w:rsidTr="1F5B48DF">
        <w:trPr>
          <w:trHeight w:val="360"/>
        </w:trPr>
        <w:tc>
          <w:tcPr>
            <w:tcW w:w="2268" w:type="dxa"/>
            <w:vMerge/>
            <w:vAlign w:val="center"/>
          </w:tcPr>
          <w:p w14:paraId="40FDA275" w14:textId="77777777" w:rsidR="000675EA" w:rsidRPr="0046702C" w:rsidRDefault="000675EA">
            <w:pPr>
              <w:spacing w:before="60" w:after="60"/>
              <w:rPr>
                <w:rFonts w:ascii="Century Gothic" w:hAnsi="Century Gothic"/>
                <w:color w:val="538135" w:themeColor="accent6" w:themeShade="BF"/>
                <w:sz w:val="22"/>
                <w:szCs w:val="22"/>
              </w:rPr>
            </w:pPr>
          </w:p>
        </w:tc>
        <w:tc>
          <w:tcPr>
            <w:tcW w:w="2086" w:type="dxa"/>
            <w:shd w:val="clear" w:color="auto" w:fill="auto"/>
            <w:vAlign w:val="center"/>
          </w:tcPr>
          <w:p w14:paraId="5D4E385F" w14:textId="77777777" w:rsidR="000675EA" w:rsidRPr="0046702C" w:rsidRDefault="000675EA">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U2</w:t>
            </w:r>
          </w:p>
        </w:tc>
        <w:tc>
          <w:tcPr>
            <w:tcW w:w="1458" w:type="dxa"/>
            <w:shd w:val="clear" w:color="auto" w:fill="auto"/>
            <w:vAlign w:val="center"/>
          </w:tcPr>
          <w:p w14:paraId="50F4384B" w14:textId="5BE4EDD4"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44,870</w:t>
            </w:r>
          </w:p>
        </w:tc>
        <w:tc>
          <w:tcPr>
            <w:tcW w:w="1418" w:type="dxa"/>
            <w:shd w:val="clear" w:color="auto" w:fill="auto"/>
            <w:vAlign w:val="center"/>
          </w:tcPr>
          <w:p w14:paraId="3727BB6D" w14:textId="08A50CF8"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46,179</w:t>
            </w:r>
          </w:p>
        </w:tc>
        <w:tc>
          <w:tcPr>
            <w:tcW w:w="1275" w:type="dxa"/>
            <w:shd w:val="clear" w:color="auto" w:fill="auto"/>
            <w:vAlign w:val="center"/>
          </w:tcPr>
          <w:p w14:paraId="727CA339" w14:textId="1AECF90B"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49,353</w:t>
            </w:r>
          </w:p>
        </w:tc>
        <w:tc>
          <w:tcPr>
            <w:tcW w:w="1418" w:type="dxa"/>
            <w:shd w:val="clear" w:color="auto" w:fill="auto"/>
            <w:vAlign w:val="center"/>
          </w:tcPr>
          <w:p w14:paraId="1FA83FB0" w14:textId="2F5D277E"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55,107</w:t>
            </w:r>
          </w:p>
        </w:tc>
      </w:tr>
      <w:tr w:rsidR="0046702C" w:rsidRPr="0046702C" w14:paraId="164ABA39" w14:textId="77777777" w:rsidTr="1F5B48DF">
        <w:trPr>
          <w:trHeight w:val="360"/>
        </w:trPr>
        <w:tc>
          <w:tcPr>
            <w:tcW w:w="2268" w:type="dxa"/>
            <w:vMerge/>
            <w:vAlign w:val="center"/>
            <w:hideMark/>
          </w:tcPr>
          <w:p w14:paraId="57F06465" w14:textId="77777777" w:rsidR="000675EA" w:rsidRPr="0046702C" w:rsidRDefault="000675EA">
            <w:pPr>
              <w:spacing w:before="60" w:after="60"/>
              <w:rPr>
                <w:rFonts w:ascii="Century Gothic" w:hAnsi="Century Gothic"/>
                <w:color w:val="538135" w:themeColor="accent6" w:themeShade="BF"/>
                <w:sz w:val="22"/>
                <w:szCs w:val="22"/>
              </w:rPr>
            </w:pPr>
          </w:p>
        </w:tc>
        <w:tc>
          <w:tcPr>
            <w:tcW w:w="2086" w:type="dxa"/>
            <w:shd w:val="clear" w:color="auto" w:fill="auto"/>
            <w:vAlign w:val="center"/>
            <w:hideMark/>
          </w:tcPr>
          <w:p w14:paraId="3C484F7B" w14:textId="77777777" w:rsidR="000675EA" w:rsidRPr="0046702C" w:rsidRDefault="000675EA">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U3 (UPR Maximum)</w:t>
            </w:r>
          </w:p>
        </w:tc>
        <w:tc>
          <w:tcPr>
            <w:tcW w:w="1458" w:type="dxa"/>
            <w:shd w:val="clear" w:color="auto" w:fill="auto"/>
            <w:vAlign w:val="center"/>
          </w:tcPr>
          <w:p w14:paraId="35CCC8FB" w14:textId="5A75561B"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46,525</w:t>
            </w:r>
          </w:p>
        </w:tc>
        <w:tc>
          <w:tcPr>
            <w:tcW w:w="1418" w:type="dxa"/>
            <w:shd w:val="clear" w:color="auto" w:fill="auto"/>
            <w:vAlign w:val="center"/>
          </w:tcPr>
          <w:p w14:paraId="6CDF4961" w14:textId="56956741"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47,839</w:t>
            </w:r>
          </w:p>
        </w:tc>
        <w:tc>
          <w:tcPr>
            <w:tcW w:w="1275" w:type="dxa"/>
            <w:shd w:val="clear" w:color="auto" w:fill="auto"/>
            <w:vAlign w:val="center"/>
          </w:tcPr>
          <w:p w14:paraId="5F1D094E" w14:textId="0FAE3262"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51,179</w:t>
            </w:r>
          </w:p>
        </w:tc>
        <w:tc>
          <w:tcPr>
            <w:tcW w:w="1418" w:type="dxa"/>
            <w:shd w:val="clear" w:color="auto" w:fill="auto"/>
            <w:vAlign w:val="center"/>
          </w:tcPr>
          <w:p w14:paraId="263F9680" w14:textId="2CD9FE51"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56,959</w:t>
            </w:r>
          </w:p>
        </w:tc>
      </w:tr>
    </w:tbl>
    <w:p w14:paraId="01E8B4F0" w14:textId="02BCC0D3" w:rsidR="00045F9D" w:rsidRPr="0046702C" w:rsidRDefault="00045F9D" w:rsidP="00467EC9">
      <w:pPr>
        <w:pStyle w:val="EPMSubheading"/>
        <w:rPr>
          <w:rFonts w:ascii="Century Gothic" w:hAnsi="Century Gothic"/>
          <w:color w:val="538135" w:themeColor="accent6" w:themeShade="BF"/>
        </w:rPr>
      </w:pPr>
      <w:bookmarkStart w:id="152" w:name="_Toc21087931"/>
      <w:bookmarkStart w:id="153" w:name="_Toc118383148"/>
      <w:r w:rsidRPr="0046702C">
        <w:rPr>
          <w:rFonts w:ascii="Century Gothic" w:hAnsi="Century Gothic"/>
          <w:color w:val="538135" w:themeColor="accent6" w:themeShade="BF"/>
        </w:rPr>
        <w:t>Salary Points on Unqualified Pay Range</w:t>
      </w:r>
      <w:bookmarkEnd w:id="152"/>
      <w:bookmarkEnd w:id="153"/>
    </w:p>
    <w:tbl>
      <w:tblPr>
        <w:tblW w:w="992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2410"/>
        <w:gridCol w:w="1311"/>
        <w:gridCol w:w="1311"/>
        <w:gridCol w:w="1311"/>
        <w:gridCol w:w="1312"/>
      </w:tblGrid>
      <w:tr w:rsidR="0046702C" w:rsidRPr="0046702C" w14:paraId="2AE7B567" w14:textId="77777777" w:rsidTr="1F5B48DF">
        <w:trPr>
          <w:trHeight w:val="537"/>
        </w:trPr>
        <w:tc>
          <w:tcPr>
            <w:tcW w:w="4678" w:type="dxa"/>
            <w:gridSpan w:val="2"/>
            <w:vMerge w:val="restart"/>
            <w:shd w:val="clear" w:color="auto" w:fill="E6E6E6"/>
            <w:vAlign w:val="center"/>
            <w:hideMark/>
          </w:tcPr>
          <w:p w14:paraId="104F1B57" w14:textId="77777777" w:rsidR="007E16E5" w:rsidRPr="0046702C" w:rsidRDefault="007E16E5" w:rsidP="007E16E5">
            <w:pPr>
              <w:pStyle w:val="EPMTableHeading"/>
              <w:rPr>
                <w:rFonts w:ascii="Century Gothic" w:hAnsi="Century Gothic"/>
                <w:color w:val="538135" w:themeColor="accent6" w:themeShade="BF"/>
              </w:rPr>
            </w:pPr>
            <w:r w:rsidRPr="0046702C">
              <w:rPr>
                <w:rFonts w:ascii="Century Gothic" w:hAnsi="Century Gothic"/>
                <w:color w:val="538135" w:themeColor="accent6" w:themeShade="BF"/>
              </w:rPr>
              <w:br w:type="page"/>
              <w:t> </w:t>
            </w:r>
          </w:p>
        </w:tc>
        <w:tc>
          <w:tcPr>
            <w:tcW w:w="1311" w:type="dxa"/>
            <w:vMerge w:val="restart"/>
            <w:shd w:val="clear" w:color="auto" w:fill="E6E6E6"/>
            <w:vAlign w:val="center"/>
            <w:hideMark/>
          </w:tcPr>
          <w:p w14:paraId="45D8900D" w14:textId="77777777" w:rsidR="007E16E5" w:rsidRPr="0046702C" w:rsidRDefault="007E16E5" w:rsidP="008B3375">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England &amp; Wales</w:t>
            </w:r>
          </w:p>
        </w:tc>
        <w:tc>
          <w:tcPr>
            <w:tcW w:w="1311" w:type="dxa"/>
            <w:vMerge w:val="restart"/>
            <w:shd w:val="clear" w:color="auto" w:fill="E6E6E6"/>
            <w:vAlign w:val="center"/>
            <w:hideMark/>
          </w:tcPr>
          <w:p w14:paraId="201B2C73" w14:textId="0D196E1D" w:rsidR="007E16E5" w:rsidRPr="0046702C" w:rsidRDefault="1FE30474" w:rsidP="1F5B48DF">
            <w:pPr>
              <w:pStyle w:val="EPMTableHeading"/>
              <w:spacing w:line="259" w:lineRule="auto"/>
              <w:jc w:val="center"/>
              <w:rPr>
                <w:rFonts w:ascii="Century Gothic" w:hAnsi="Century Gothic"/>
                <w:color w:val="538135" w:themeColor="accent6" w:themeShade="BF"/>
              </w:rPr>
            </w:pPr>
            <w:r w:rsidRPr="0046702C">
              <w:rPr>
                <w:rFonts w:ascii="Century Gothic" w:hAnsi="Century Gothic"/>
                <w:color w:val="538135" w:themeColor="accent6" w:themeShade="BF"/>
              </w:rPr>
              <w:t>Fringe</w:t>
            </w:r>
          </w:p>
        </w:tc>
        <w:tc>
          <w:tcPr>
            <w:tcW w:w="1311" w:type="dxa"/>
            <w:vMerge w:val="restart"/>
            <w:shd w:val="clear" w:color="auto" w:fill="E6E6E6"/>
            <w:vAlign w:val="center"/>
            <w:hideMark/>
          </w:tcPr>
          <w:p w14:paraId="4D84F691" w14:textId="77777777" w:rsidR="007E16E5" w:rsidRPr="0046702C" w:rsidRDefault="007E16E5" w:rsidP="008B3375">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Outer London</w:t>
            </w:r>
          </w:p>
        </w:tc>
        <w:tc>
          <w:tcPr>
            <w:tcW w:w="1312" w:type="dxa"/>
            <w:vMerge w:val="restart"/>
            <w:shd w:val="clear" w:color="auto" w:fill="E6E6E6"/>
            <w:vAlign w:val="center"/>
            <w:hideMark/>
          </w:tcPr>
          <w:p w14:paraId="00F3FAC3" w14:textId="5D044A08" w:rsidR="007E16E5" w:rsidRPr="0046702C" w:rsidRDefault="7194F2D2" w:rsidP="008B3375">
            <w:pPr>
              <w:pStyle w:val="EPMTableHeading"/>
              <w:jc w:val="center"/>
              <w:rPr>
                <w:rFonts w:ascii="Century Gothic" w:hAnsi="Century Gothic"/>
                <w:color w:val="538135" w:themeColor="accent6" w:themeShade="BF"/>
              </w:rPr>
            </w:pPr>
            <w:r w:rsidRPr="0046702C">
              <w:rPr>
                <w:rFonts w:ascii="Century Gothic" w:hAnsi="Century Gothic"/>
                <w:color w:val="538135" w:themeColor="accent6" w:themeShade="BF"/>
              </w:rPr>
              <w:t>Inner London</w:t>
            </w:r>
          </w:p>
        </w:tc>
      </w:tr>
      <w:tr w:rsidR="0046702C" w:rsidRPr="0046702C" w14:paraId="7B60DDE6" w14:textId="77777777" w:rsidTr="1F5B48DF">
        <w:trPr>
          <w:trHeight w:val="537"/>
        </w:trPr>
        <w:tc>
          <w:tcPr>
            <w:tcW w:w="4678" w:type="dxa"/>
            <w:gridSpan w:val="2"/>
            <w:vMerge/>
            <w:vAlign w:val="center"/>
            <w:hideMark/>
          </w:tcPr>
          <w:p w14:paraId="1626EA7E" w14:textId="77777777" w:rsidR="007E16E5" w:rsidRPr="0046702C" w:rsidRDefault="007E16E5">
            <w:pPr>
              <w:spacing w:before="60" w:after="60"/>
              <w:jc w:val="both"/>
              <w:rPr>
                <w:rFonts w:ascii="Century Gothic" w:hAnsi="Century Gothic"/>
                <w:color w:val="538135" w:themeColor="accent6" w:themeShade="BF"/>
              </w:rPr>
            </w:pPr>
          </w:p>
        </w:tc>
        <w:tc>
          <w:tcPr>
            <w:tcW w:w="1311" w:type="dxa"/>
            <w:vMerge/>
            <w:vAlign w:val="center"/>
            <w:hideMark/>
          </w:tcPr>
          <w:p w14:paraId="6DFE99FB" w14:textId="77777777" w:rsidR="007E16E5" w:rsidRPr="0046702C" w:rsidRDefault="007E16E5" w:rsidP="008B3375">
            <w:pPr>
              <w:spacing w:before="60" w:after="60"/>
              <w:jc w:val="center"/>
              <w:rPr>
                <w:rFonts w:ascii="Century Gothic" w:hAnsi="Century Gothic"/>
                <w:color w:val="538135" w:themeColor="accent6" w:themeShade="BF"/>
              </w:rPr>
            </w:pPr>
          </w:p>
        </w:tc>
        <w:tc>
          <w:tcPr>
            <w:tcW w:w="1311" w:type="dxa"/>
            <w:vMerge/>
            <w:vAlign w:val="center"/>
            <w:hideMark/>
          </w:tcPr>
          <w:p w14:paraId="5B662F33" w14:textId="77777777" w:rsidR="007E16E5" w:rsidRPr="0046702C" w:rsidRDefault="007E16E5" w:rsidP="008B3375">
            <w:pPr>
              <w:spacing w:before="60" w:after="60"/>
              <w:jc w:val="center"/>
              <w:rPr>
                <w:rFonts w:ascii="Century Gothic" w:hAnsi="Century Gothic"/>
                <w:color w:val="538135" w:themeColor="accent6" w:themeShade="BF"/>
              </w:rPr>
            </w:pPr>
          </w:p>
        </w:tc>
        <w:tc>
          <w:tcPr>
            <w:tcW w:w="1311" w:type="dxa"/>
            <w:vMerge/>
            <w:vAlign w:val="center"/>
            <w:hideMark/>
          </w:tcPr>
          <w:p w14:paraId="7A2DA73E" w14:textId="77777777" w:rsidR="007E16E5" w:rsidRPr="0046702C" w:rsidRDefault="007E16E5" w:rsidP="008B3375">
            <w:pPr>
              <w:spacing w:before="60" w:after="60"/>
              <w:jc w:val="center"/>
              <w:rPr>
                <w:rFonts w:ascii="Century Gothic" w:hAnsi="Century Gothic"/>
                <w:color w:val="538135" w:themeColor="accent6" w:themeShade="BF"/>
              </w:rPr>
            </w:pPr>
          </w:p>
        </w:tc>
        <w:tc>
          <w:tcPr>
            <w:tcW w:w="1312" w:type="dxa"/>
            <w:vMerge/>
            <w:vAlign w:val="center"/>
            <w:hideMark/>
          </w:tcPr>
          <w:p w14:paraId="4475EF0F" w14:textId="77777777" w:rsidR="007E16E5" w:rsidRPr="0046702C" w:rsidRDefault="007E16E5" w:rsidP="008B3375">
            <w:pPr>
              <w:spacing w:before="60" w:after="60"/>
              <w:jc w:val="center"/>
              <w:rPr>
                <w:rFonts w:ascii="Century Gothic" w:hAnsi="Century Gothic"/>
                <w:color w:val="538135" w:themeColor="accent6" w:themeShade="BF"/>
              </w:rPr>
            </w:pPr>
          </w:p>
        </w:tc>
      </w:tr>
      <w:tr w:rsidR="0046702C" w:rsidRPr="0046702C" w14:paraId="25D93A0E" w14:textId="77777777" w:rsidTr="1F5B48DF">
        <w:trPr>
          <w:trHeight w:val="360"/>
        </w:trPr>
        <w:tc>
          <w:tcPr>
            <w:tcW w:w="2268" w:type="dxa"/>
            <w:vMerge w:val="restart"/>
            <w:shd w:val="clear" w:color="auto" w:fill="E6E6E6"/>
            <w:vAlign w:val="center"/>
            <w:hideMark/>
          </w:tcPr>
          <w:p w14:paraId="4E2DBD62" w14:textId="77777777" w:rsidR="007E16E5" w:rsidRPr="0046702C" w:rsidRDefault="007E16E5" w:rsidP="007E16E5">
            <w:pPr>
              <w:pStyle w:val="EPMTableHeading"/>
              <w:rPr>
                <w:rFonts w:ascii="Century Gothic" w:hAnsi="Century Gothic"/>
                <w:color w:val="538135" w:themeColor="accent6" w:themeShade="BF"/>
              </w:rPr>
            </w:pPr>
            <w:r w:rsidRPr="0046702C">
              <w:rPr>
                <w:rFonts w:ascii="Century Gothic" w:hAnsi="Century Gothic"/>
                <w:color w:val="538135" w:themeColor="accent6" w:themeShade="BF"/>
              </w:rPr>
              <w:t xml:space="preserve">Unqualified Teacher Pay Range </w:t>
            </w:r>
          </w:p>
        </w:tc>
        <w:tc>
          <w:tcPr>
            <w:tcW w:w="2410" w:type="dxa"/>
            <w:shd w:val="clear" w:color="auto" w:fill="auto"/>
            <w:vAlign w:val="center"/>
            <w:hideMark/>
          </w:tcPr>
          <w:p w14:paraId="4BC74A1E" w14:textId="77777777" w:rsidR="007E16E5" w:rsidRPr="0046702C" w:rsidRDefault="007E16E5">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U1 (UTPR Minimum)</w:t>
            </w:r>
          </w:p>
        </w:tc>
        <w:tc>
          <w:tcPr>
            <w:tcW w:w="1311" w:type="dxa"/>
            <w:shd w:val="clear" w:color="auto" w:fill="auto"/>
            <w:vAlign w:val="center"/>
          </w:tcPr>
          <w:p w14:paraId="02BC9BD8" w14:textId="1217CBB6"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20,598</w:t>
            </w:r>
          </w:p>
        </w:tc>
        <w:tc>
          <w:tcPr>
            <w:tcW w:w="1311" w:type="dxa"/>
            <w:shd w:val="clear" w:color="auto" w:fill="auto"/>
            <w:vAlign w:val="center"/>
          </w:tcPr>
          <w:p w14:paraId="52F523C7" w14:textId="0A302A5A"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21,933</w:t>
            </w:r>
          </w:p>
        </w:tc>
        <w:tc>
          <w:tcPr>
            <w:tcW w:w="1311" w:type="dxa"/>
            <w:shd w:val="clear" w:color="auto" w:fill="auto"/>
            <w:vAlign w:val="center"/>
          </w:tcPr>
          <w:p w14:paraId="77B476E0" w14:textId="7C47CF76"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24,415</w:t>
            </w:r>
          </w:p>
        </w:tc>
        <w:tc>
          <w:tcPr>
            <w:tcW w:w="1312" w:type="dxa"/>
            <w:shd w:val="clear" w:color="auto" w:fill="auto"/>
            <w:vAlign w:val="center"/>
          </w:tcPr>
          <w:p w14:paraId="3714FB5B" w14:textId="57B3CD89"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25,831</w:t>
            </w:r>
          </w:p>
        </w:tc>
      </w:tr>
      <w:tr w:rsidR="0046702C" w:rsidRPr="0046702C" w:rsidDel="006B5070" w14:paraId="2D0FF18D" w14:textId="77777777" w:rsidTr="1F5B48DF">
        <w:trPr>
          <w:trHeight w:val="360"/>
        </w:trPr>
        <w:tc>
          <w:tcPr>
            <w:tcW w:w="2268" w:type="dxa"/>
            <w:vMerge/>
            <w:vAlign w:val="center"/>
          </w:tcPr>
          <w:p w14:paraId="1994F63E" w14:textId="77777777" w:rsidR="007E16E5" w:rsidRPr="0046702C" w:rsidRDefault="007E16E5">
            <w:pPr>
              <w:spacing w:before="60" w:after="60"/>
              <w:rPr>
                <w:rFonts w:ascii="Century Gothic" w:hAnsi="Century Gothic"/>
                <w:color w:val="538135" w:themeColor="accent6" w:themeShade="BF"/>
                <w:sz w:val="22"/>
                <w:szCs w:val="22"/>
              </w:rPr>
            </w:pPr>
          </w:p>
        </w:tc>
        <w:tc>
          <w:tcPr>
            <w:tcW w:w="2410" w:type="dxa"/>
            <w:shd w:val="clear" w:color="auto" w:fill="auto"/>
            <w:vAlign w:val="center"/>
          </w:tcPr>
          <w:p w14:paraId="02B7631F" w14:textId="77777777" w:rsidR="007E16E5" w:rsidRPr="0046702C" w:rsidRDefault="007E16E5">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U2</w:t>
            </w:r>
          </w:p>
        </w:tc>
        <w:tc>
          <w:tcPr>
            <w:tcW w:w="1311" w:type="dxa"/>
            <w:shd w:val="clear" w:color="auto" w:fill="auto"/>
            <w:vAlign w:val="center"/>
          </w:tcPr>
          <w:p w14:paraId="1DBA2801" w14:textId="3F8E80C7"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22,961</w:t>
            </w:r>
          </w:p>
        </w:tc>
        <w:tc>
          <w:tcPr>
            <w:tcW w:w="1311" w:type="dxa"/>
            <w:shd w:val="clear" w:color="auto" w:fill="auto"/>
            <w:vAlign w:val="center"/>
          </w:tcPr>
          <w:p w14:paraId="11F29F3D" w14:textId="528BAED3"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24,293</w:t>
            </w:r>
          </w:p>
        </w:tc>
        <w:tc>
          <w:tcPr>
            <w:tcW w:w="1311" w:type="dxa"/>
            <w:shd w:val="clear" w:color="auto" w:fill="auto"/>
            <w:vAlign w:val="center"/>
          </w:tcPr>
          <w:p w14:paraId="5DBD5B0F" w14:textId="31272399"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26,779</w:t>
            </w:r>
          </w:p>
        </w:tc>
        <w:tc>
          <w:tcPr>
            <w:tcW w:w="1312" w:type="dxa"/>
            <w:shd w:val="clear" w:color="auto" w:fill="auto"/>
            <w:vAlign w:val="center"/>
          </w:tcPr>
          <w:p w14:paraId="3E5F28B8" w14:textId="7CCB878E"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28,194</w:t>
            </w:r>
          </w:p>
        </w:tc>
      </w:tr>
      <w:tr w:rsidR="0046702C" w:rsidRPr="0046702C" w14:paraId="02F693CE" w14:textId="77777777" w:rsidTr="1F5B48DF">
        <w:trPr>
          <w:trHeight w:val="360"/>
        </w:trPr>
        <w:tc>
          <w:tcPr>
            <w:tcW w:w="2268" w:type="dxa"/>
            <w:vMerge/>
            <w:vAlign w:val="center"/>
            <w:hideMark/>
          </w:tcPr>
          <w:p w14:paraId="57B2812B" w14:textId="77777777" w:rsidR="007E16E5" w:rsidRPr="0046702C" w:rsidRDefault="007E16E5">
            <w:pPr>
              <w:spacing w:before="60" w:after="60"/>
              <w:rPr>
                <w:rFonts w:ascii="Century Gothic" w:hAnsi="Century Gothic"/>
                <w:color w:val="538135" w:themeColor="accent6" w:themeShade="BF"/>
                <w:sz w:val="22"/>
                <w:szCs w:val="22"/>
              </w:rPr>
            </w:pPr>
          </w:p>
        </w:tc>
        <w:tc>
          <w:tcPr>
            <w:tcW w:w="2410" w:type="dxa"/>
            <w:shd w:val="clear" w:color="auto" w:fill="auto"/>
            <w:vAlign w:val="center"/>
            <w:hideMark/>
          </w:tcPr>
          <w:p w14:paraId="76122B61" w14:textId="77777777" w:rsidR="007E16E5" w:rsidRPr="0046702C" w:rsidRDefault="007E16E5">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U3</w:t>
            </w:r>
          </w:p>
        </w:tc>
        <w:tc>
          <w:tcPr>
            <w:tcW w:w="1311" w:type="dxa"/>
            <w:shd w:val="clear" w:color="auto" w:fill="auto"/>
            <w:vAlign w:val="center"/>
          </w:tcPr>
          <w:p w14:paraId="02D8574A" w14:textId="3FC9BCFF"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25,323</w:t>
            </w:r>
          </w:p>
        </w:tc>
        <w:tc>
          <w:tcPr>
            <w:tcW w:w="1311" w:type="dxa"/>
            <w:shd w:val="clear" w:color="auto" w:fill="auto"/>
            <w:vAlign w:val="center"/>
          </w:tcPr>
          <w:p w14:paraId="134E00EA" w14:textId="6C50EA8F"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26,656</w:t>
            </w:r>
          </w:p>
        </w:tc>
        <w:tc>
          <w:tcPr>
            <w:tcW w:w="1311" w:type="dxa"/>
            <w:shd w:val="clear" w:color="auto" w:fill="auto"/>
            <w:vAlign w:val="center"/>
          </w:tcPr>
          <w:p w14:paraId="50959196" w14:textId="4EC942ED"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29,141</w:t>
            </w:r>
          </w:p>
        </w:tc>
        <w:tc>
          <w:tcPr>
            <w:tcW w:w="1312" w:type="dxa"/>
            <w:shd w:val="clear" w:color="auto" w:fill="auto"/>
            <w:vAlign w:val="center"/>
          </w:tcPr>
          <w:p w14:paraId="45B719D1" w14:textId="433F2A15"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30,557</w:t>
            </w:r>
          </w:p>
        </w:tc>
      </w:tr>
      <w:tr w:rsidR="0046702C" w:rsidRPr="0046702C" w14:paraId="566DC76F" w14:textId="77777777" w:rsidTr="1F5B48DF">
        <w:trPr>
          <w:trHeight w:val="360"/>
        </w:trPr>
        <w:tc>
          <w:tcPr>
            <w:tcW w:w="2268" w:type="dxa"/>
            <w:vMerge/>
            <w:vAlign w:val="center"/>
          </w:tcPr>
          <w:p w14:paraId="4890F929" w14:textId="77777777" w:rsidR="007E16E5" w:rsidRPr="0046702C" w:rsidRDefault="007E16E5">
            <w:pPr>
              <w:spacing w:before="60" w:after="60"/>
              <w:rPr>
                <w:rFonts w:ascii="Century Gothic" w:hAnsi="Century Gothic"/>
                <w:color w:val="538135" w:themeColor="accent6" w:themeShade="BF"/>
                <w:sz w:val="22"/>
                <w:szCs w:val="22"/>
              </w:rPr>
            </w:pPr>
          </w:p>
        </w:tc>
        <w:tc>
          <w:tcPr>
            <w:tcW w:w="2410" w:type="dxa"/>
            <w:shd w:val="clear" w:color="auto" w:fill="auto"/>
            <w:vAlign w:val="center"/>
          </w:tcPr>
          <w:p w14:paraId="7CB383FE" w14:textId="77777777" w:rsidR="007E16E5" w:rsidRPr="0046702C" w:rsidRDefault="007E16E5">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U4</w:t>
            </w:r>
          </w:p>
        </w:tc>
        <w:tc>
          <w:tcPr>
            <w:tcW w:w="1311" w:type="dxa"/>
            <w:shd w:val="clear" w:color="auto" w:fill="auto"/>
            <w:vAlign w:val="center"/>
          </w:tcPr>
          <w:p w14:paraId="0E257360" w14:textId="37951A81"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27,406</w:t>
            </w:r>
          </w:p>
        </w:tc>
        <w:tc>
          <w:tcPr>
            <w:tcW w:w="1311" w:type="dxa"/>
            <w:shd w:val="clear" w:color="auto" w:fill="auto"/>
            <w:vAlign w:val="center"/>
          </w:tcPr>
          <w:p w14:paraId="7B7F4E8D" w14:textId="4F1628A0"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28,738</w:t>
            </w:r>
          </w:p>
        </w:tc>
        <w:tc>
          <w:tcPr>
            <w:tcW w:w="1311" w:type="dxa"/>
            <w:shd w:val="clear" w:color="auto" w:fill="auto"/>
            <w:vAlign w:val="center"/>
          </w:tcPr>
          <w:p w14:paraId="2DECA697" w14:textId="03CDC9BB"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31,229</w:t>
            </w:r>
          </w:p>
        </w:tc>
        <w:tc>
          <w:tcPr>
            <w:tcW w:w="1312" w:type="dxa"/>
            <w:shd w:val="clear" w:color="auto" w:fill="auto"/>
            <w:vAlign w:val="center"/>
          </w:tcPr>
          <w:p w14:paraId="4B46CBF5" w14:textId="0CAD7DA2"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32,640</w:t>
            </w:r>
          </w:p>
        </w:tc>
      </w:tr>
      <w:tr w:rsidR="0046702C" w:rsidRPr="0046702C" w14:paraId="4D03B2D2" w14:textId="77777777" w:rsidTr="1F5B48DF">
        <w:trPr>
          <w:trHeight w:val="360"/>
        </w:trPr>
        <w:tc>
          <w:tcPr>
            <w:tcW w:w="2268" w:type="dxa"/>
            <w:vMerge/>
            <w:vAlign w:val="center"/>
          </w:tcPr>
          <w:p w14:paraId="4C88E223" w14:textId="77777777" w:rsidR="007E16E5" w:rsidRPr="0046702C" w:rsidRDefault="007E16E5">
            <w:pPr>
              <w:spacing w:before="60" w:after="60"/>
              <w:rPr>
                <w:rFonts w:ascii="Century Gothic" w:hAnsi="Century Gothic"/>
                <w:color w:val="538135" w:themeColor="accent6" w:themeShade="BF"/>
                <w:sz w:val="22"/>
                <w:szCs w:val="22"/>
              </w:rPr>
            </w:pPr>
          </w:p>
        </w:tc>
        <w:tc>
          <w:tcPr>
            <w:tcW w:w="2410" w:type="dxa"/>
            <w:shd w:val="clear" w:color="auto" w:fill="auto"/>
            <w:vAlign w:val="center"/>
          </w:tcPr>
          <w:p w14:paraId="3A58395F" w14:textId="77777777" w:rsidR="007E16E5" w:rsidRPr="0046702C" w:rsidRDefault="007E16E5">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U5</w:t>
            </w:r>
          </w:p>
        </w:tc>
        <w:tc>
          <w:tcPr>
            <w:tcW w:w="1311" w:type="dxa"/>
            <w:shd w:val="clear" w:color="auto" w:fill="auto"/>
            <w:vAlign w:val="center"/>
          </w:tcPr>
          <w:p w14:paraId="62661C65" w14:textId="63EA3B82"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29,772</w:t>
            </w:r>
          </w:p>
        </w:tc>
        <w:tc>
          <w:tcPr>
            <w:tcW w:w="1311" w:type="dxa"/>
            <w:shd w:val="clear" w:color="auto" w:fill="auto"/>
            <w:vAlign w:val="center"/>
          </w:tcPr>
          <w:p w14:paraId="70018EC9" w14:textId="5BBD7789"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31,102</w:t>
            </w:r>
          </w:p>
        </w:tc>
        <w:tc>
          <w:tcPr>
            <w:tcW w:w="1311" w:type="dxa"/>
            <w:shd w:val="clear" w:color="auto" w:fill="auto"/>
            <w:vAlign w:val="center"/>
          </w:tcPr>
          <w:p w14:paraId="6AA8FD24" w14:textId="0291DA39"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33,590</w:t>
            </w:r>
          </w:p>
        </w:tc>
        <w:tc>
          <w:tcPr>
            <w:tcW w:w="1312" w:type="dxa"/>
            <w:shd w:val="clear" w:color="auto" w:fill="auto"/>
            <w:vAlign w:val="center"/>
          </w:tcPr>
          <w:p w14:paraId="295EC266" w14:textId="60AB0455"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35,000</w:t>
            </w:r>
          </w:p>
        </w:tc>
      </w:tr>
      <w:tr w:rsidR="0046702C" w:rsidRPr="0046702C" w14:paraId="7BE6791D" w14:textId="77777777" w:rsidTr="1F5B48DF">
        <w:trPr>
          <w:trHeight w:val="64"/>
        </w:trPr>
        <w:tc>
          <w:tcPr>
            <w:tcW w:w="2268" w:type="dxa"/>
            <w:vMerge/>
            <w:vAlign w:val="center"/>
          </w:tcPr>
          <w:p w14:paraId="21F01010" w14:textId="77777777" w:rsidR="007E16E5" w:rsidRPr="0046702C" w:rsidRDefault="007E16E5">
            <w:pPr>
              <w:spacing w:before="60" w:after="60"/>
              <w:rPr>
                <w:rFonts w:ascii="Century Gothic" w:hAnsi="Century Gothic"/>
                <w:color w:val="538135" w:themeColor="accent6" w:themeShade="BF"/>
                <w:sz w:val="22"/>
                <w:szCs w:val="22"/>
              </w:rPr>
            </w:pPr>
          </w:p>
        </w:tc>
        <w:tc>
          <w:tcPr>
            <w:tcW w:w="2410" w:type="dxa"/>
            <w:shd w:val="clear" w:color="auto" w:fill="auto"/>
            <w:vAlign w:val="center"/>
          </w:tcPr>
          <w:p w14:paraId="11A50444" w14:textId="77777777" w:rsidR="007E16E5" w:rsidRPr="0046702C" w:rsidRDefault="007E16E5">
            <w:pPr>
              <w:spacing w:before="60" w:after="60"/>
              <w:jc w:val="both"/>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U6 (UTPR Maximum)</w:t>
            </w:r>
          </w:p>
        </w:tc>
        <w:tc>
          <w:tcPr>
            <w:tcW w:w="1311" w:type="dxa"/>
            <w:shd w:val="clear" w:color="auto" w:fill="auto"/>
            <w:vAlign w:val="center"/>
          </w:tcPr>
          <w:p w14:paraId="371F72BA" w14:textId="77F73C1A"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32,134</w:t>
            </w:r>
          </w:p>
        </w:tc>
        <w:tc>
          <w:tcPr>
            <w:tcW w:w="1311" w:type="dxa"/>
            <w:shd w:val="clear" w:color="auto" w:fill="auto"/>
            <w:vAlign w:val="center"/>
          </w:tcPr>
          <w:p w14:paraId="2C19C2A4" w14:textId="071E4726"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33,464</w:t>
            </w:r>
          </w:p>
        </w:tc>
        <w:tc>
          <w:tcPr>
            <w:tcW w:w="1311" w:type="dxa"/>
            <w:shd w:val="clear" w:color="auto" w:fill="auto"/>
            <w:vAlign w:val="center"/>
          </w:tcPr>
          <w:p w14:paraId="3651D70C" w14:textId="1D3FE7DB"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35,954</w:t>
            </w:r>
          </w:p>
        </w:tc>
        <w:tc>
          <w:tcPr>
            <w:tcW w:w="1312" w:type="dxa"/>
            <w:shd w:val="clear" w:color="auto" w:fill="auto"/>
            <w:vAlign w:val="center"/>
          </w:tcPr>
          <w:p w14:paraId="32F70979" w14:textId="4F699566" w:rsidR="1F5B48DF" w:rsidRPr="0046702C" w:rsidRDefault="1F5B48DF" w:rsidP="1F5B48DF">
            <w:pPr>
              <w:spacing w:before="60" w:after="60" w:line="259" w:lineRule="auto"/>
              <w:jc w:val="center"/>
              <w:rPr>
                <w:rFonts w:ascii="Century Gothic" w:hAnsi="Century Gothic"/>
                <w:color w:val="538135" w:themeColor="accent6" w:themeShade="BF"/>
                <w:sz w:val="21"/>
                <w:szCs w:val="21"/>
              </w:rPr>
            </w:pPr>
            <w:r w:rsidRPr="0046702C">
              <w:rPr>
                <w:rFonts w:ascii="Century Gothic" w:hAnsi="Century Gothic"/>
                <w:color w:val="538135" w:themeColor="accent6" w:themeShade="BF"/>
                <w:sz w:val="21"/>
                <w:szCs w:val="21"/>
              </w:rPr>
              <w:t>37,362</w:t>
            </w:r>
          </w:p>
        </w:tc>
      </w:tr>
    </w:tbl>
    <w:p w14:paraId="45651AAA" w14:textId="422C5EBC" w:rsidR="00D06EAA" w:rsidRPr="0046702C" w:rsidRDefault="00D06EAA" w:rsidP="00325ED9">
      <w:pPr>
        <w:pStyle w:val="EPMBracket"/>
        <w:rPr>
          <w:rFonts w:ascii="Century Gothic" w:hAnsi="Century Gothic"/>
          <w:color w:val="538135" w:themeColor="accent6" w:themeShade="BF"/>
        </w:rPr>
      </w:pPr>
    </w:p>
    <w:p w14:paraId="3B3B2AF0" w14:textId="0D50E083" w:rsidR="00D06EAA" w:rsidRPr="0046702C" w:rsidRDefault="00D06EAA">
      <w:pPr>
        <w:rPr>
          <w:rFonts w:ascii="Century Gothic" w:hAnsi="Century Gothic"/>
          <w:color w:val="538135" w:themeColor="accent6" w:themeShade="BF"/>
        </w:rPr>
      </w:pPr>
    </w:p>
    <w:p w14:paraId="15F8FC5B" w14:textId="77777777" w:rsidR="003C30CC" w:rsidRPr="0046702C" w:rsidRDefault="003C30CC" w:rsidP="003C30CC">
      <w:pPr>
        <w:pStyle w:val="EPMBracket"/>
        <w:rPr>
          <w:rFonts w:ascii="Century Gothic" w:hAnsi="Century Gothic"/>
          <w:color w:val="538135" w:themeColor="accent6" w:themeShade="BF"/>
        </w:rPr>
      </w:pPr>
      <w:r w:rsidRPr="0046702C">
        <w:rPr>
          <w:rFonts w:ascii="Century Gothic" w:hAnsi="Century Gothic"/>
          <w:color w:val="538135" w:themeColor="accent6" w:themeShade="BF"/>
        </w:rPr>
        <w:t>[Questions for the Pay Body to consider:</w:t>
      </w:r>
    </w:p>
    <w:p w14:paraId="0BF5E1A4" w14:textId="77777777" w:rsidR="003C30CC" w:rsidRPr="0046702C" w:rsidRDefault="003C30CC" w:rsidP="003C30CC">
      <w:pPr>
        <w:pStyle w:val="EPMBullets"/>
        <w:ind w:left="284" w:hanging="284"/>
        <w:rPr>
          <w:rFonts w:ascii="Century Gothic" w:hAnsi="Century Gothic"/>
          <w:color w:val="538135" w:themeColor="accent6" w:themeShade="BF"/>
        </w:rPr>
      </w:pPr>
      <w:r w:rsidRPr="0046702C">
        <w:rPr>
          <w:rFonts w:ascii="Century Gothic" w:hAnsi="Century Gothic"/>
          <w:color w:val="538135" w:themeColor="accent6" w:themeShade="BF"/>
        </w:rPr>
        <w:t>Does the Pay Body accept the advisory pay points for the Unqualified Teacher Pay Range?</w:t>
      </w:r>
    </w:p>
    <w:p w14:paraId="72DDF4FE" w14:textId="77777777" w:rsidR="003C30CC" w:rsidRPr="0046702C" w:rsidRDefault="003C30CC" w:rsidP="003C30CC">
      <w:pPr>
        <w:pStyle w:val="EPMBullets"/>
        <w:ind w:left="284" w:hanging="284"/>
        <w:rPr>
          <w:rFonts w:ascii="Century Gothic" w:hAnsi="Century Gothic"/>
          <w:color w:val="538135" w:themeColor="accent6" w:themeShade="BF"/>
        </w:rPr>
      </w:pPr>
      <w:r w:rsidRPr="0046702C">
        <w:rPr>
          <w:rFonts w:ascii="Century Gothic" w:hAnsi="Century Gothic"/>
          <w:color w:val="538135" w:themeColor="accent6" w:themeShade="BF"/>
        </w:rPr>
        <w:t>If the Pay Body does accept the advisory pay points, how will the Pay Body assimilate from the current pay points?</w:t>
      </w:r>
    </w:p>
    <w:p w14:paraId="480C98C1" w14:textId="77777777" w:rsidR="003C30CC" w:rsidRPr="0046702C" w:rsidRDefault="003C30CC" w:rsidP="003C30CC">
      <w:pPr>
        <w:pStyle w:val="EPMBullets"/>
        <w:ind w:left="284" w:hanging="284"/>
        <w:rPr>
          <w:rFonts w:ascii="Century Gothic" w:hAnsi="Century Gothic"/>
          <w:color w:val="538135" w:themeColor="accent6" w:themeShade="BF"/>
        </w:rPr>
      </w:pPr>
      <w:r w:rsidRPr="0046702C">
        <w:rPr>
          <w:rFonts w:ascii="Century Gothic" w:hAnsi="Century Gothic"/>
          <w:color w:val="538135" w:themeColor="accent6" w:themeShade="BF"/>
        </w:rPr>
        <w:t>Does the Pay Body intend to change the current number of points on the main pay range, the unqualified teacher range or the upper pay range?</w:t>
      </w:r>
    </w:p>
    <w:p w14:paraId="264CEDEB" w14:textId="77777777" w:rsidR="003C30CC" w:rsidRPr="0046702C" w:rsidRDefault="003C30CC" w:rsidP="003C30CC">
      <w:pPr>
        <w:pStyle w:val="EPMBullets"/>
        <w:ind w:left="284" w:hanging="284"/>
        <w:rPr>
          <w:rFonts w:ascii="Century Gothic" w:hAnsi="Century Gothic"/>
          <w:color w:val="538135" w:themeColor="accent6" w:themeShade="BF"/>
        </w:rPr>
      </w:pPr>
      <w:r w:rsidRPr="0046702C">
        <w:rPr>
          <w:rFonts w:ascii="Century Gothic" w:hAnsi="Century Gothic"/>
          <w:color w:val="538135" w:themeColor="accent6" w:themeShade="BF"/>
        </w:rPr>
        <w:t>If so, how many points will each range have and what will the value of the points on the ranges be?</w:t>
      </w:r>
    </w:p>
    <w:p w14:paraId="705026FC" w14:textId="77777777" w:rsidR="003C30CC" w:rsidRPr="0046702C" w:rsidRDefault="003C30CC" w:rsidP="003C30CC">
      <w:pPr>
        <w:pStyle w:val="EPMTextstyle"/>
        <w:rPr>
          <w:rFonts w:ascii="Century Gothic" w:hAnsi="Century Gothic"/>
          <w:color w:val="538135" w:themeColor="accent6" w:themeShade="BF"/>
        </w:rPr>
      </w:pPr>
      <w:r w:rsidRPr="0046702C">
        <w:rPr>
          <w:rFonts w:ascii="Century Gothic" w:hAnsi="Century Gothic"/>
          <w:color w:val="538135" w:themeColor="accent6" w:themeShade="BF"/>
        </w:rPr>
        <w:t>The Pay Body will need to decide the basis of the pay progression of teachers, e.g. determined by the outcome of the appraisal review process.</w:t>
      </w:r>
    </w:p>
    <w:p w14:paraId="4DF490D9" w14:textId="77777777" w:rsidR="003C30CC" w:rsidRPr="0046702C" w:rsidRDefault="003C30CC" w:rsidP="003C30CC">
      <w:pPr>
        <w:pStyle w:val="EPMTextstyle"/>
        <w:rPr>
          <w:rFonts w:ascii="Century Gothic" w:hAnsi="Century Gothic"/>
          <w:color w:val="538135" w:themeColor="accent6" w:themeShade="BF"/>
        </w:rPr>
      </w:pPr>
      <w:r w:rsidRPr="0046702C">
        <w:rPr>
          <w:rFonts w:ascii="Century Gothic" w:hAnsi="Century Gothic"/>
          <w:color w:val="538135" w:themeColor="accent6" w:themeShade="BF"/>
        </w:rPr>
        <w:t>Teachers on the main, upper and unqualified teacher pay ranges will have their salary reviewed annually in accordance with paragraph 6 of the pay policy against the aims of the school and in accordance with the criteria which a teacher needs to meet to achieve salary progression.</w:t>
      </w:r>
    </w:p>
    <w:p w14:paraId="3A65C60D" w14:textId="77777777" w:rsidR="003C30CC" w:rsidRPr="0046702C" w:rsidRDefault="003C30CC" w:rsidP="00465906">
      <w:pPr>
        <w:pStyle w:val="EPMBullets"/>
        <w:ind w:left="284" w:hanging="284"/>
        <w:rPr>
          <w:rFonts w:ascii="Century Gothic" w:hAnsi="Century Gothic"/>
          <w:color w:val="538135" w:themeColor="accent6" w:themeShade="BF"/>
        </w:rPr>
      </w:pPr>
      <w:r w:rsidRPr="0046702C">
        <w:rPr>
          <w:rFonts w:ascii="Century Gothic" w:hAnsi="Century Gothic"/>
          <w:color w:val="538135" w:themeColor="accent6" w:themeShade="BF"/>
        </w:rPr>
        <w:t>What level of performance does the Pay Body wish to reward?</w:t>
      </w:r>
    </w:p>
    <w:p w14:paraId="6D6BA5CE" w14:textId="77777777" w:rsidR="003C30CC" w:rsidRPr="0046702C" w:rsidRDefault="003C30CC" w:rsidP="00465906">
      <w:pPr>
        <w:pStyle w:val="EPMBullets"/>
        <w:ind w:left="284" w:hanging="284"/>
        <w:rPr>
          <w:rFonts w:ascii="Century Gothic" w:hAnsi="Century Gothic"/>
          <w:color w:val="538135" w:themeColor="accent6" w:themeShade="BF"/>
        </w:rPr>
      </w:pPr>
      <w:r w:rsidRPr="0046702C">
        <w:rPr>
          <w:rFonts w:ascii="Century Gothic" w:hAnsi="Century Gothic"/>
          <w:color w:val="538135" w:themeColor="accent6" w:themeShade="BF"/>
        </w:rPr>
        <w:t>How will the Pay Body differentiate pay progression to reward different levels of performance, e.g. the use of “good” and “outstanding” or similar words to describe the performance and, if so:</w:t>
      </w:r>
    </w:p>
    <w:p w14:paraId="55C4BBCE" w14:textId="77777777" w:rsidR="003C30CC" w:rsidRPr="0046702C" w:rsidRDefault="003C30CC" w:rsidP="00465906">
      <w:pPr>
        <w:pStyle w:val="EPMBullets"/>
        <w:ind w:left="1560" w:hanging="1276"/>
        <w:rPr>
          <w:rFonts w:ascii="Century Gothic" w:hAnsi="Century Gothic"/>
          <w:color w:val="538135" w:themeColor="accent6" w:themeShade="BF"/>
        </w:rPr>
      </w:pPr>
      <w:r w:rsidRPr="0046702C">
        <w:rPr>
          <w:rFonts w:ascii="Century Gothic" w:hAnsi="Century Gothic"/>
          <w:color w:val="538135" w:themeColor="accent6" w:themeShade="BF"/>
        </w:rPr>
        <w:t>How will the Pay Body define “good performance” and “outstanding performance”?</w:t>
      </w:r>
    </w:p>
    <w:p w14:paraId="7765C44B" w14:textId="77777777" w:rsidR="003C30CC" w:rsidRPr="0046702C" w:rsidRDefault="003C30CC" w:rsidP="00465906">
      <w:pPr>
        <w:pStyle w:val="EPMBullets"/>
        <w:ind w:left="1560" w:hanging="1276"/>
        <w:rPr>
          <w:rFonts w:ascii="Century Gothic" w:hAnsi="Century Gothic"/>
          <w:color w:val="538135" w:themeColor="accent6" w:themeShade="BF"/>
        </w:rPr>
      </w:pPr>
      <w:r w:rsidRPr="0046702C">
        <w:rPr>
          <w:rFonts w:ascii="Century Gothic" w:hAnsi="Century Gothic"/>
          <w:color w:val="538135" w:themeColor="accent6" w:themeShade="BF"/>
        </w:rPr>
        <w:t>Will the Pay Body’s criteria for pay progression include:</w:t>
      </w:r>
    </w:p>
    <w:p w14:paraId="1628781F" w14:textId="77777777" w:rsidR="003C30CC" w:rsidRPr="0046702C" w:rsidRDefault="003C30CC" w:rsidP="00465906">
      <w:pPr>
        <w:pStyle w:val="EPMBullets"/>
        <w:ind w:left="851" w:hanging="284"/>
        <w:rPr>
          <w:rFonts w:ascii="Century Gothic" w:hAnsi="Century Gothic"/>
          <w:color w:val="538135" w:themeColor="accent6" w:themeShade="BF"/>
        </w:rPr>
      </w:pPr>
      <w:r w:rsidRPr="0046702C">
        <w:rPr>
          <w:rFonts w:ascii="Century Gothic" w:hAnsi="Century Gothic"/>
          <w:color w:val="538135" w:themeColor="accent6" w:themeShade="BF"/>
        </w:rPr>
        <w:t>Achievement of objectives set under the appraisal policy and if so what are the success criteria for each objective and the evidence to be collected?</w:t>
      </w:r>
    </w:p>
    <w:p w14:paraId="2994EEF1" w14:textId="77777777" w:rsidR="003C30CC" w:rsidRPr="0046702C" w:rsidRDefault="003C30CC" w:rsidP="00465906">
      <w:pPr>
        <w:pStyle w:val="EPMBullets"/>
        <w:ind w:left="851" w:hanging="284"/>
        <w:rPr>
          <w:rFonts w:ascii="Century Gothic" w:hAnsi="Century Gothic"/>
          <w:color w:val="538135" w:themeColor="accent6" w:themeShade="BF"/>
        </w:rPr>
      </w:pPr>
      <w:r w:rsidRPr="0046702C">
        <w:rPr>
          <w:rFonts w:ascii="Century Gothic" w:hAnsi="Century Gothic"/>
          <w:color w:val="538135" w:themeColor="accent6" w:themeShade="BF"/>
        </w:rPr>
        <w:t>Evidence of achievement of the Teachers’ Standards to a good or outstanding level, and if so how are those levels of achieving the Teachers’ Standards to be defined?</w:t>
      </w:r>
    </w:p>
    <w:p w14:paraId="519F576F" w14:textId="77777777" w:rsidR="003C30CC" w:rsidRPr="0046702C" w:rsidRDefault="003C30CC" w:rsidP="00465906">
      <w:pPr>
        <w:pStyle w:val="EPMBullets"/>
        <w:ind w:left="851" w:hanging="284"/>
        <w:rPr>
          <w:rFonts w:ascii="Century Gothic" w:hAnsi="Century Gothic"/>
          <w:color w:val="538135" w:themeColor="accent6" w:themeShade="BF"/>
        </w:rPr>
      </w:pPr>
      <w:r w:rsidRPr="0046702C">
        <w:rPr>
          <w:rFonts w:ascii="Century Gothic" w:hAnsi="Century Gothic"/>
          <w:color w:val="538135" w:themeColor="accent6" w:themeShade="BF"/>
        </w:rPr>
        <w:t>Levels of performance in classroom observations, and if so will Ofsted criteria be used to assess performance or some other criteria?</w:t>
      </w:r>
    </w:p>
    <w:p w14:paraId="68EA2CE4" w14:textId="77777777" w:rsidR="003C30CC" w:rsidRPr="0046702C" w:rsidRDefault="003C30CC" w:rsidP="00465906">
      <w:pPr>
        <w:pStyle w:val="EPMBullets"/>
        <w:ind w:left="851" w:hanging="284"/>
        <w:rPr>
          <w:rFonts w:ascii="Century Gothic" w:hAnsi="Century Gothic"/>
          <w:color w:val="538135" w:themeColor="accent6" w:themeShade="BF"/>
        </w:rPr>
      </w:pPr>
      <w:r w:rsidRPr="0046702C">
        <w:rPr>
          <w:rFonts w:ascii="Century Gothic" w:hAnsi="Century Gothic"/>
          <w:color w:val="538135" w:themeColor="accent6" w:themeShade="BF"/>
        </w:rPr>
        <w:t>Who will make the recommendations about pay progression to the Review Committee?</w:t>
      </w:r>
    </w:p>
    <w:p w14:paraId="7AC9126C" w14:textId="77777777" w:rsidR="003C30CC" w:rsidRPr="0046702C" w:rsidRDefault="003C30CC" w:rsidP="00465906">
      <w:pPr>
        <w:pStyle w:val="EPMBullets"/>
        <w:ind w:left="851" w:hanging="284"/>
        <w:rPr>
          <w:rFonts w:ascii="Century Gothic" w:hAnsi="Century Gothic"/>
          <w:color w:val="538135" w:themeColor="accent6" w:themeShade="BF"/>
        </w:rPr>
      </w:pPr>
      <w:r w:rsidRPr="0046702C">
        <w:rPr>
          <w:rFonts w:ascii="Century Gothic" w:hAnsi="Century Gothic"/>
          <w:color w:val="538135" w:themeColor="accent6" w:themeShade="BF"/>
        </w:rPr>
        <w:t>What information is needed for a recommendation about pay progression?</w:t>
      </w:r>
    </w:p>
    <w:p w14:paraId="0ED4B325" w14:textId="77777777" w:rsidR="003C30CC" w:rsidRPr="0046702C" w:rsidRDefault="003C30CC" w:rsidP="00465906">
      <w:pPr>
        <w:pStyle w:val="EPMBullets"/>
        <w:ind w:left="851" w:hanging="284"/>
        <w:rPr>
          <w:rFonts w:ascii="Century Gothic" w:hAnsi="Century Gothic"/>
          <w:color w:val="538135" w:themeColor="accent6" w:themeShade="BF"/>
        </w:rPr>
      </w:pPr>
      <w:r w:rsidRPr="0046702C">
        <w:rPr>
          <w:rFonts w:ascii="Century Gothic" w:hAnsi="Century Gothic"/>
          <w:color w:val="538135" w:themeColor="accent6" w:themeShade="BF"/>
        </w:rPr>
        <w:t>Will the Pay Body use absolute or relative performance measures or a mixture of both? (See the DfE Departmental Advice)</w:t>
      </w:r>
    </w:p>
    <w:p w14:paraId="10E95A4D" w14:textId="77777777" w:rsidR="003C30CC" w:rsidRPr="0046702C" w:rsidRDefault="003C30CC" w:rsidP="00465906">
      <w:pPr>
        <w:pStyle w:val="EPMBullets"/>
        <w:ind w:left="851" w:hanging="284"/>
        <w:rPr>
          <w:rFonts w:ascii="Century Gothic" w:hAnsi="Century Gothic"/>
          <w:color w:val="538135" w:themeColor="accent6" w:themeShade="BF"/>
        </w:rPr>
      </w:pPr>
      <w:r w:rsidRPr="0046702C">
        <w:rPr>
          <w:rFonts w:ascii="Century Gothic" w:hAnsi="Century Gothic"/>
          <w:color w:val="538135" w:themeColor="accent6" w:themeShade="BF"/>
        </w:rPr>
        <w:t>Will the Pay Body have an upper limit on the amount of funding to be used for pay progression if so what will that level be?]</w:t>
      </w:r>
    </w:p>
    <w:p w14:paraId="6A2C341A" w14:textId="04C1DD6B" w:rsidR="003B7172" w:rsidRPr="0046702C" w:rsidRDefault="003B7172">
      <w:pPr>
        <w:rPr>
          <w:rFonts w:ascii="Century Gothic" w:hAnsi="Century Gothic" w:cs="Arial"/>
          <w:color w:val="538135" w:themeColor="accent6" w:themeShade="BF"/>
          <w:sz w:val="21"/>
          <w:szCs w:val="20"/>
        </w:rPr>
      </w:pPr>
      <w:r w:rsidRPr="0046702C">
        <w:rPr>
          <w:rFonts w:ascii="Century Gothic" w:hAnsi="Century Gothic"/>
          <w:color w:val="538135" w:themeColor="accent6" w:themeShade="BF"/>
        </w:rPr>
        <w:br w:type="page"/>
      </w:r>
    </w:p>
    <w:p w14:paraId="1D4CD963" w14:textId="77777777" w:rsidR="00961642" w:rsidRPr="0046702C" w:rsidRDefault="00961642" w:rsidP="00961642">
      <w:pPr>
        <w:pStyle w:val="EPMPageHeading"/>
        <w:rPr>
          <w:rFonts w:ascii="Century Gothic" w:hAnsi="Century Gothic"/>
          <w:color w:val="538135" w:themeColor="accent6" w:themeShade="BF"/>
        </w:rPr>
      </w:pPr>
      <w:bookmarkStart w:id="154" w:name="_Toc492546267"/>
      <w:bookmarkStart w:id="155" w:name="_Toc21097730"/>
      <w:bookmarkStart w:id="156" w:name="_Toc118383150"/>
      <w:bookmarkStart w:id="157" w:name="_Toc129873012"/>
      <w:r w:rsidRPr="0046702C">
        <w:rPr>
          <w:rFonts w:ascii="Century Gothic" w:hAnsi="Century Gothic"/>
          <w:color w:val="538135" w:themeColor="accent6" w:themeShade="BF"/>
        </w:rPr>
        <w:lastRenderedPageBreak/>
        <w:t>Annexe G</w:t>
      </w:r>
      <w:bookmarkEnd w:id="154"/>
      <w:r w:rsidRPr="0046702C">
        <w:rPr>
          <w:rFonts w:ascii="Century Gothic" w:hAnsi="Century Gothic"/>
          <w:color w:val="538135" w:themeColor="accent6" w:themeShade="BF"/>
        </w:rPr>
        <w:t xml:space="preserve">: </w:t>
      </w:r>
      <w:bookmarkStart w:id="158" w:name="_Toc492546268"/>
      <w:bookmarkStart w:id="159" w:name="_Toc21087935"/>
      <w:r w:rsidRPr="0046702C">
        <w:rPr>
          <w:rFonts w:ascii="Century Gothic" w:hAnsi="Century Gothic"/>
          <w:color w:val="538135" w:themeColor="accent6" w:themeShade="BF"/>
        </w:rPr>
        <w:t>Salary Ranges and Arrangements for Teachers Paid on the Leadership Group Range</w:t>
      </w:r>
      <w:bookmarkEnd w:id="155"/>
      <w:bookmarkEnd w:id="156"/>
      <w:bookmarkEnd w:id="157"/>
      <w:bookmarkEnd w:id="158"/>
      <w:bookmarkEnd w:id="159"/>
    </w:p>
    <w:p w14:paraId="4BEF1E40" w14:textId="0DD1AA1C" w:rsidR="006E7D0F" w:rsidRPr="0046702C" w:rsidRDefault="67197AC8" w:rsidP="006E7D0F">
      <w:pPr>
        <w:pStyle w:val="EPMBracket"/>
        <w:rPr>
          <w:rFonts w:ascii="Century Gothic" w:hAnsi="Century Gothic"/>
          <w:color w:val="538135" w:themeColor="accent6" w:themeShade="BF"/>
        </w:rPr>
      </w:pPr>
      <w:r w:rsidRPr="0046702C">
        <w:rPr>
          <w:rFonts w:ascii="Century Gothic" w:hAnsi="Century Gothic"/>
          <w:color w:val="538135" w:themeColor="accent6" w:themeShade="BF"/>
        </w:rPr>
        <w:t>The Pay Body will need to consider whether paragraph 9.3 of the STPCD 202</w:t>
      </w:r>
      <w:r w:rsidR="3DC4B2C6" w:rsidRPr="0046702C">
        <w:rPr>
          <w:rFonts w:ascii="Century Gothic" w:hAnsi="Century Gothic"/>
          <w:color w:val="538135" w:themeColor="accent6" w:themeShade="BF"/>
        </w:rPr>
        <w:t>3</w:t>
      </w:r>
      <w:r w:rsidRPr="0046702C">
        <w:rPr>
          <w:rFonts w:ascii="Century Gothic" w:hAnsi="Century Gothic"/>
          <w:color w:val="538135" w:themeColor="accent6" w:themeShade="BF"/>
        </w:rPr>
        <w:t xml:space="preserve"> applies to the circumstances of the Headteacher.</w:t>
      </w:r>
    </w:p>
    <w:p w14:paraId="50E1DF07" w14:textId="77777777" w:rsidR="006E7D0F" w:rsidRPr="0046702C" w:rsidRDefault="006E7D0F" w:rsidP="006E7D0F">
      <w:pPr>
        <w:pStyle w:val="EPMBracket"/>
        <w:rPr>
          <w:rFonts w:ascii="Century Gothic" w:hAnsi="Century Gothic"/>
          <w:color w:val="538135" w:themeColor="accent6" w:themeShade="BF"/>
        </w:rPr>
      </w:pPr>
      <w:r w:rsidRPr="0046702C">
        <w:rPr>
          <w:rFonts w:ascii="Century Gothic" w:hAnsi="Century Gothic"/>
          <w:color w:val="538135" w:themeColor="accent6" w:themeShade="BF"/>
        </w:rPr>
        <w:t>The maximum of the Deputy Headteacher and Assistant Headteacher must not exceed the maximum of the HTG.</w:t>
      </w:r>
    </w:p>
    <w:p w14:paraId="2335E70D" w14:textId="4F60D9D1" w:rsidR="006E7D0F" w:rsidRPr="0046702C" w:rsidRDefault="67197AC8" w:rsidP="006E7D0F">
      <w:pPr>
        <w:pStyle w:val="EPMBracket"/>
        <w:rPr>
          <w:rFonts w:ascii="Century Gothic" w:hAnsi="Century Gothic"/>
          <w:color w:val="538135" w:themeColor="accent6" w:themeShade="BF"/>
        </w:rPr>
      </w:pPr>
      <w:r w:rsidRPr="0046702C">
        <w:rPr>
          <w:rFonts w:ascii="Century Gothic" w:hAnsi="Century Gothic"/>
          <w:color w:val="538135" w:themeColor="accent6" w:themeShade="BF"/>
        </w:rPr>
        <w:t>Changes to the determination of leadership group pay under the STPCD 202</w:t>
      </w:r>
      <w:r w:rsidR="14060A7B" w:rsidRPr="0046702C">
        <w:rPr>
          <w:rFonts w:ascii="Century Gothic" w:hAnsi="Century Gothic"/>
          <w:color w:val="538135" w:themeColor="accent6" w:themeShade="BF"/>
        </w:rPr>
        <w:t>3</w:t>
      </w:r>
      <w:r w:rsidRPr="0046702C">
        <w:rPr>
          <w:rFonts w:ascii="Century Gothic" w:hAnsi="Century Gothic"/>
          <w:color w:val="538135" w:themeColor="accent6" w:themeShade="BF"/>
        </w:rPr>
        <w:t xml:space="preserve"> (paragraphs 4 to 11) should only be applied to individuals appointed to a leadership post on or after 1 September 2014, or whose responsibilities have significantly changed after that date. </w:t>
      </w:r>
    </w:p>
    <w:p w14:paraId="65EDA979" w14:textId="77777777" w:rsidR="006E7D0F" w:rsidRPr="0046702C" w:rsidRDefault="006E7D0F" w:rsidP="006E7D0F">
      <w:pPr>
        <w:pStyle w:val="EPMBracket"/>
        <w:rPr>
          <w:rFonts w:ascii="Century Gothic" w:hAnsi="Century Gothic"/>
          <w:color w:val="538135" w:themeColor="accent6" w:themeShade="BF"/>
        </w:rPr>
      </w:pPr>
      <w:r w:rsidRPr="0046702C">
        <w:rPr>
          <w:rFonts w:ascii="Century Gothic" w:hAnsi="Century Gothic"/>
          <w:color w:val="538135" w:themeColor="accent6" w:themeShade="BF"/>
        </w:rPr>
        <w:t xml:space="preserve">The Pay Body may choose to review the pay of all of its leadership posts under these arrangements, if they determine that this is required to maintain consistency, either with pay arrangements for new appointments to the leadership group made on or after 1st September 2014 or with pay arrangements for a member or members of the leadership group whose responsibilities significantly changed on or after that date. </w:t>
      </w:r>
    </w:p>
    <w:p w14:paraId="26B9397E" w14:textId="2223BA7D" w:rsidR="006E7D0F" w:rsidRPr="0046702C" w:rsidRDefault="67197AC8" w:rsidP="006E7D0F">
      <w:pPr>
        <w:pStyle w:val="EPMBracket"/>
        <w:rPr>
          <w:rFonts w:ascii="Century Gothic" w:hAnsi="Century Gothic"/>
          <w:color w:val="538135" w:themeColor="accent6" w:themeShade="BF"/>
        </w:rPr>
      </w:pPr>
      <w:r w:rsidRPr="0046702C">
        <w:rPr>
          <w:rFonts w:ascii="Century Gothic" w:hAnsi="Century Gothic"/>
          <w:color w:val="538135" w:themeColor="accent6" w:themeShade="BF"/>
        </w:rPr>
        <w:t>Under the STPCD 202</w:t>
      </w:r>
      <w:r w:rsidR="6D80112C" w:rsidRPr="0046702C">
        <w:rPr>
          <w:rFonts w:ascii="Century Gothic" w:hAnsi="Century Gothic"/>
          <w:color w:val="538135" w:themeColor="accent6" w:themeShade="BF"/>
        </w:rPr>
        <w:t>3</w:t>
      </w:r>
      <w:r w:rsidRPr="0046702C">
        <w:rPr>
          <w:rFonts w:ascii="Century Gothic" w:hAnsi="Century Gothic"/>
          <w:color w:val="538135" w:themeColor="accent6" w:themeShade="BF"/>
        </w:rPr>
        <w:t>, the Governing Body, in deciding the implementation of the arrangements above, may determine the extent and the size of the salary ranges for the Headteacher’s pay range (HTPR), the Deputy Head and Assistant Head.</w:t>
      </w:r>
    </w:p>
    <w:p w14:paraId="5823F1E3" w14:textId="77777777" w:rsidR="006E7D0F" w:rsidRPr="0046702C" w:rsidRDefault="006E7D0F" w:rsidP="006E7D0F">
      <w:pPr>
        <w:pStyle w:val="EPMBracket"/>
        <w:rPr>
          <w:rFonts w:ascii="Century Gothic" w:hAnsi="Century Gothic"/>
          <w:color w:val="538135" w:themeColor="accent6" w:themeShade="BF"/>
        </w:rPr>
      </w:pPr>
      <w:bookmarkStart w:id="160" w:name="_Toc21087936"/>
      <w:commentRangeStart w:id="161"/>
      <w:r w:rsidRPr="0046702C">
        <w:rPr>
          <w:rFonts w:ascii="Century Gothic" w:hAnsi="Century Gothic"/>
          <w:color w:val="538135" w:themeColor="accent6" w:themeShade="BF"/>
        </w:rPr>
        <w:t>Questions for the Pay Body:</w:t>
      </w:r>
      <w:bookmarkEnd w:id="160"/>
    </w:p>
    <w:p w14:paraId="4A92AEC0" w14:textId="649D4F36" w:rsidR="006E7D0F" w:rsidRPr="0046702C" w:rsidRDefault="006E7D0F" w:rsidP="006E7D0F">
      <w:pPr>
        <w:pStyle w:val="EPMBracket"/>
        <w:rPr>
          <w:rFonts w:ascii="Century Gothic" w:hAnsi="Century Gothic"/>
          <w:color w:val="538135" w:themeColor="accent6" w:themeShade="BF"/>
        </w:rPr>
      </w:pPr>
      <w:r w:rsidRPr="0046702C">
        <w:rPr>
          <w:rFonts w:ascii="Century Gothic" w:hAnsi="Century Gothic"/>
          <w:color w:val="538135" w:themeColor="accent6" w:themeShade="BF"/>
        </w:rPr>
        <w:t>Is the Pay Body intending to appoint a new member of the leadership group, or amend the salary where a leadership post has significantly changed on or after 1 September 2014, and re-determine the salary?</w:t>
      </w:r>
      <w:r w:rsidR="002E1D87" w:rsidRPr="0046702C">
        <w:rPr>
          <w:rFonts w:ascii="Century Gothic" w:hAnsi="Century Gothic"/>
          <w:color w:val="538135" w:themeColor="accent6" w:themeShade="BF"/>
        </w:rPr>
        <w:br/>
      </w:r>
      <w:r w:rsidRPr="0046702C">
        <w:rPr>
          <w:rFonts w:ascii="Century Gothic" w:hAnsi="Century Gothic"/>
          <w:color w:val="538135" w:themeColor="accent6" w:themeShade="BF"/>
        </w:rPr>
        <w:t>If the answer is no, then the Pay Body should confirm the leadership pay ranges as indicated above. The Pay Body may wish to consider question h below in advance of the setting of performance objectives for the leadership group for this academic year.</w:t>
      </w:r>
    </w:p>
    <w:p w14:paraId="43D3DDE6" w14:textId="77777777" w:rsidR="007B74FC" w:rsidRPr="0046702C" w:rsidRDefault="007B74FC" w:rsidP="007B74FC">
      <w:pPr>
        <w:pStyle w:val="EPMBracket"/>
        <w:rPr>
          <w:rFonts w:ascii="Century Gothic" w:hAnsi="Century Gothic"/>
          <w:color w:val="538135" w:themeColor="accent6" w:themeShade="BF"/>
        </w:rPr>
      </w:pPr>
      <w:r w:rsidRPr="0046702C">
        <w:rPr>
          <w:rFonts w:ascii="Century Gothic" w:hAnsi="Century Gothic"/>
          <w:color w:val="538135" w:themeColor="accent6" w:themeShade="BF"/>
        </w:rPr>
        <w:t>[If the answer is yes then the Pay Body must decide:</w:t>
      </w:r>
    </w:p>
    <w:p w14:paraId="31F489E9" w14:textId="77777777" w:rsidR="007B74FC" w:rsidRPr="0046702C" w:rsidRDefault="007B74FC" w:rsidP="007B74FC">
      <w:pPr>
        <w:pStyle w:val="EPMBracket"/>
        <w:numPr>
          <w:ilvl w:val="0"/>
          <w:numId w:val="48"/>
        </w:numPr>
        <w:tabs>
          <w:tab w:val="clear" w:pos="284"/>
          <w:tab w:val="clear" w:pos="851"/>
        </w:tabs>
        <w:ind w:left="426" w:hanging="426"/>
        <w:rPr>
          <w:rFonts w:ascii="Century Gothic" w:hAnsi="Century Gothic"/>
          <w:color w:val="538135" w:themeColor="accent6" w:themeShade="BF"/>
        </w:rPr>
      </w:pPr>
      <w:r w:rsidRPr="0046702C">
        <w:rPr>
          <w:rFonts w:ascii="Century Gothic" w:hAnsi="Century Gothic"/>
          <w:color w:val="538135" w:themeColor="accent6" w:themeShade="BF"/>
        </w:rPr>
        <w:t>Within which HTG will the HTPR be set?</w:t>
      </w:r>
    </w:p>
    <w:p w14:paraId="0D5B82D1" w14:textId="77777777" w:rsidR="007B74FC" w:rsidRPr="0046702C" w:rsidRDefault="007B74FC" w:rsidP="007B74FC">
      <w:pPr>
        <w:pStyle w:val="EPMBracket"/>
        <w:numPr>
          <w:ilvl w:val="0"/>
          <w:numId w:val="48"/>
        </w:numPr>
        <w:tabs>
          <w:tab w:val="clear" w:pos="284"/>
          <w:tab w:val="clear" w:pos="851"/>
        </w:tabs>
        <w:ind w:left="426" w:hanging="426"/>
        <w:rPr>
          <w:rFonts w:ascii="Century Gothic" w:hAnsi="Century Gothic"/>
          <w:color w:val="538135" w:themeColor="accent6" w:themeShade="BF"/>
        </w:rPr>
      </w:pPr>
      <w:r w:rsidRPr="0046702C">
        <w:rPr>
          <w:rFonts w:ascii="Century Gothic" w:hAnsi="Century Gothic"/>
          <w:color w:val="538135" w:themeColor="accent6" w:themeShade="BF"/>
        </w:rPr>
        <w:t xml:space="preserve">How many consecutive points will be in the HTPR? </w:t>
      </w:r>
    </w:p>
    <w:p w14:paraId="0AB6573B" w14:textId="77777777" w:rsidR="007B74FC" w:rsidRPr="0046702C" w:rsidRDefault="007B74FC" w:rsidP="007B74FC">
      <w:pPr>
        <w:pStyle w:val="EPMBracket"/>
        <w:numPr>
          <w:ilvl w:val="0"/>
          <w:numId w:val="48"/>
        </w:numPr>
        <w:tabs>
          <w:tab w:val="clear" w:pos="284"/>
          <w:tab w:val="clear" w:pos="851"/>
        </w:tabs>
        <w:ind w:left="426" w:hanging="426"/>
        <w:rPr>
          <w:rFonts w:ascii="Century Gothic" w:hAnsi="Century Gothic"/>
          <w:color w:val="538135" w:themeColor="accent6" w:themeShade="BF"/>
        </w:rPr>
      </w:pPr>
      <w:r w:rsidRPr="0046702C">
        <w:rPr>
          <w:rFonts w:ascii="Century Gothic" w:hAnsi="Century Gothic"/>
          <w:color w:val="538135" w:themeColor="accent6" w:themeShade="BF"/>
        </w:rPr>
        <w:t xml:space="preserve">How many consecutive points will be in the deputy/assistant head ranges? </w:t>
      </w:r>
    </w:p>
    <w:p w14:paraId="103D3AF8" w14:textId="77777777" w:rsidR="007B74FC" w:rsidRPr="0046702C" w:rsidRDefault="007B74FC" w:rsidP="007B74FC">
      <w:pPr>
        <w:pStyle w:val="EPMBracket"/>
        <w:numPr>
          <w:ilvl w:val="0"/>
          <w:numId w:val="48"/>
        </w:numPr>
        <w:tabs>
          <w:tab w:val="clear" w:pos="284"/>
          <w:tab w:val="clear" w:pos="851"/>
        </w:tabs>
        <w:ind w:left="426" w:hanging="426"/>
        <w:rPr>
          <w:rFonts w:ascii="Century Gothic" w:hAnsi="Century Gothic"/>
          <w:color w:val="538135" w:themeColor="accent6" w:themeShade="BF"/>
        </w:rPr>
      </w:pPr>
      <w:r w:rsidRPr="0046702C">
        <w:rPr>
          <w:rFonts w:ascii="Century Gothic" w:hAnsi="Century Gothic"/>
          <w:color w:val="538135" w:themeColor="accent6" w:themeShade="BF"/>
        </w:rPr>
        <w:t>Will this be the same for all deputy/assistant head ranges?</w:t>
      </w:r>
    </w:p>
    <w:p w14:paraId="180BE8FB" w14:textId="77777777" w:rsidR="007B74FC" w:rsidRPr="0046702C" w:rsidRDefault="007B74FC" w:rsidP="007B74FC">
      <w:pPr>
        <w:pStyle w:val="EPMBracket"/>
        <w:numPr>
          <w:ilvl w:val="0"/>
          <w:numId w:val="48"/>
        </w:numPr>
        <w:tabs>
          <w:tab w:val="clear" w:pos="284"/>
          <w:tab w:val="clear" w:pos="851"/>
        </w:tabs>
        <w:ind w:left="426" w:hanging="426"/>
        <w:rPr>
          <w:rFonts w:ascii="Century Gothic" w:hAnsi="Century Gothic"/>
          <w:color w:val="538135" w:themeColor="accent6" w:themeShade="BF"/>
        </w:rPr>
      </w:pPr>
      <w:r w:rsidRPr="0046702C">
        <w:rPr>
          <w:rFonts w:ascii="Century Gothic" w:hAnsi="Century Gothic"/>
          <w:color w:val="538135" w:themeColor="accent6" w:themeShade="BF"/>
        </w:rPr>
        <w:t>Are there exceptional circumstances so that the deputy/assistant head ranges overlap the HTG?</w:t>
      </w:r>
    </w:p>
    <w:p w14:paraId="1BF59118" w14:textId="77777777" w:rsidR="007B74FC" w:rsidRPr="0046702C" w:rsidRDefault="007B74FC" w:rsidP="007B74FC">
      <w:pPr>
        <w:pStyle w:val="EPMBracket"/>
        <w:numPr>
          <w:ilvl w:val="0"/>
          <w:numId w:val="48"/>
        </w:numPr>
        <w:tabs>
          <w:tab w:val="clear" w:pos="284"/>
          <w:tab w:val="clear" w:pos="851"/>
        </w:tabs>
        <w:ind w:left="426" w:hanging="426"/>
        <w:rPr>
          <w:rFonts w:ascii="Century Gothic" w:hAnsi="Century Gothic"/>
          <w:color w:val="538135" w:themeColor="accent6" w:themeShade="BF"/>
        </w:rPr>
      </w:pPr>
      <w:r w:rsidRPr="0046702C">
        <w:rPr>
          <w:rFonts w:ascii="Century Gothic" w:hAnsi="Century Gothic"/>
          <w:color w:val="538135" w:themeColor="accent6" w:themeShade="BF"/>
        </w:rPr>
        <w:t>What parameters will the Pay Body identify for the point on which a newly appointed member of the leadership group may be paid?</w:t>
      </w:r>
    </w:p>
    <w:p w14:paraId="65054367" w14:textId="77777777" w:rsidR="00C03281" w:rsidRPr="0046702C" w:rsidRDefault="007B74FC">
      <w:pPr>
        <w:pStyle w:val="EPMBracket"/>
        <w:numPr>
          <w:ilvl w:val="0"/>
          <w:numId w:val="48"/>
        </w:numPr>
        <w:tabs>
          <w:tab w:val="clear" w:pos="284"/>
          <w:tab w:val="clear" w:pos="851"/>
        </w:tabs>
        <w:ind w:left="426" w:hanging="426"/>
        <w:rPr>
          <w:rFonts w:ascii="Century Gothic" w:hAnsi="Century Gothic"/>
          <w:color w:val="538135" w:themeColor="accent6" w:themeShade="BF"/>
        </w:rPr>
      </w:pPr>
      <w:r w:rsidRPr="0046702C">
        <w:rPr>
          <w:rFonts w:ascii="Century Gothic" w:hAnsi="Century Gothic"/>
          <w:color w:val="538135" w:themeColor="accent6" w:themeShade="BF"/>
        </w:rPr>
        <w:t>Under what circumstances, if any, will the Pay Body consider paying the Headteacher a salary up to 25% above the maximum of the HTG?</w:t>
      </w:r>
      <w:r w:rsidR="00C03281" w:rsidRPr="0046702C">
        <w:rPr>
          <w:rFonts w:ascii="Century Gothic" w:hAnsi="Century Gothic"/>
          <w:color w:val="538135" w:themeColor="accent6" w:themeShade="BF"/>
        </w:rPr>
        <w:t xml:space="preserve"> </w:t>
      </w:r>
    </w:p>
    <w:p w14:paraId="395E884F" w14:textId="5C7A9078" w:rsidR="00C03281" w:rsidRPr="0046702C" w:rsidRDefault="00C03281">
      <w:pPr>
        <w:pStyle w:val="EPMBracket"/>
        <w:numPr>
          <w:ilvl w:val="0"/>
          <w:numId w:val="48"/>
        </w:numPr>
        <w:tabs>
          <w:tab w:val="clear" w:pos="284"/>
          <w:tab w:val="clear" w:pos="851"/>
        </w:tabs>
        <w:ind w:left="426" w:hanging="426"/>
        <w:rPr>
          <w:rFonts w:ascii="Century Gothic" w:hAnsi="Century Gothic"/>
          <w:color w:val="538135" w:themeColor="accent6" w:themeShade="BF"/>
        </w:rPr>
      </w:pPr>
      <w:r w:rsidRPr="0046702C">
        <w:rPr>
          <w:rFonts w:ascii="Century Gothic" w:hAnsi="Century Gothic"/>
          <w:color w:val="538135" w:themeColor="accent6" w:themeShade="BF"/>
        </w:rPr>
        <w:t>What recommendations will the Pay Body consider regarding the number of points progression for the Headteacher, deputy and assistant heads following a successful performance review?</w:t>
      </w:r>
      <w:commentRangeEnd w:id="161"/>
      <w:r w:rsidR="00970F97" w:rsidRPr="0046702C">
        <w:rPr>
          <w:rStyle w:val="CommentReference"/>
          <w:rFonts w:cstheme="minorBidi"/>
          <w:color w:val="538135" w:themeColor="accent6" w:themeShade="BF"/>
        </w:rPr>
        <w:commentReference w:id="161"/>
      </w:r>
    </w:p>
    <w:bookmarkEnd w:id="2"/>
    <w:p w14:paraId="465ED26F" w14:textId="77777777" w:rsidR="003B3EDD" w:rsidRPr="0046702C" w:rsidRDefault="003B3EDD" w:rsidP="00C03281">
      <w:pPr>
        <w:pStyle w:val="EPMBracket"/>
        <w:rPr>
          <w:rFonts w:ascii="Century Gothic" w:hAnsi="Century Gothic"/>
          <w:color w:val="538135" w:themeColor="accent6" w:themeShade="BF"/>
        </w:rPr>
      </w:pPr>
    </w:p>
    <w:p w14:paraId="05EBD6FB" w14:textId="52963C78" w:rsidR="002E1D87" w:rsidRPr="0046702C" w:rsidRDefault="002E1D87" w:rsidP="002E1D87">
      <w:pPr>
        <w:pStyle w:val="EPMPageHeading"/>
        <w:rPr>
          <w:rFonts w:ascii="Century Gothic" w:hAnsi="Century Gothic"/>
          <w:color w:val="538135" w:themeColor="accent6" w:themeShade="BF"/>
        </w:rPr>
      </w:pPr>
      <w:r w:rsidRPr="0046702C">
        <w:rPr>
          <w:rFonts w:ascii="Century Gothic" w:hAnsi="Century Gothic"/>
          <w:color w:val="538135" w:themeColor="accent6" w:themeShade="BF"/>
        </w:rPr>
        <w:t>Annexe H: Support Staff Pay Award 2023</w:t>
      </w:r>
    </w:p>
    <w:p w14:paraId="45ADDF6B" w14:textId="127FAB17" w:rsidR="003B3EDD" w:rsidRPr="0046702C" w:rsidRDefault="002E1D87" w:rsidP="00C03281">
      <w:pPr>
        <w:pStyle w:val="EPMBracket"/>
        <w:rPr>
          <w:rFonts w:ascii="Century Gothic" w:hAnsi="Century Gothic"/>
          <w:color w:val="538135" w:themeColor="accent6" w:themeShade="BF"/>
        </w:rPr>
      </w:pPr>
      <w:r w:rsidRPr="0046702C">
        <w:rPr>
          <w:rFonts w:ascii="Century Gothic" w:hAnsi="Century Gothic"/>
          <w:noProof/>
          <w:color w:val="538135" w:themeColor="accent6" w:themeShade="BF"/>
        </w:rPr>
        <mc:AlternateContent>
          <mc:Choice Requires="wps">
            <w:drawing>
              <wp:anchor distT="0" distB="0" distL="114300" distR="114300" simplePos="0" relativeHeight="251660290" behindDoc="0" locked="0" layoutInCell="1" allowOverlap="1" wp14:anchorId="41D0559E" wp14:editId="463FF5F2">
                <wp:simplePos x="0" y="0"/>
                <wp:positionH relativeFrom="column">
                  <wp:posOffset>104140</wp:posOffset>
                </wp:positionH>
                <wp:positionV relativeFrom="paragraph">
                  <wp:posOffset>63500</wp:posOffset>
                </wp:positionV>
                <wp:extent cx="2724150" cy="7810500"/>
                <wp:effectExtent l="0" t="0" r="19050" b="19050"/>
                <wp:wrapNone/>
                <wp:docPr id="1813957725" name="Text Box 4"/>
                <wp:cNvGraphicFramePr/>
                <a:graphic xmlns:a="http://schemas.openxmlformats.org/drawingml/2006/main">
                  <a:graphicData uri="http://schemas.microsoft.com/office/word/2010/wordprocessingShape">
                    <wps:wsp>
                      <wps:cNvSpPr txBox="1"/>
                      <wps:spPr>
                        <a:xfrm>
                          <a:off x="0" y="0"/>
                          <a:ext cx="2724150" cy="7810500"/>
                        </a:xfrm>
                        <a:prstGeom prst="rect">
                          <a:avLst/>
                        </a:prstGeom>
                        <a:solidFill>
                          <a:schemeClr val="lt1"/>
                        </a:solidFill>
                        <a:ln w="6350">
                          <a:solidFill>
                            <a:prstClr val="black"/>
                          </a:solidFill>
                        </a:ln>
                      </wps:spPr>
                      <wps:txbx>
                        <w:txbxContent>
                          <w:p w14:paraId="46CD5F75" w14:textId="62B792ED" w:rsidR="002E1D87" w:rsidRDefault="002E1D87">
                            <w:r w:rsidRPr="002E1D87">
                              <w:rPr>
                                <w:noProof/>
                              </w:rPr>
                              <w:drawing>
                                <wp:inline distT="0" distB="0" distL="0" distR="0" wp14:anchorId="32E2BE65" wp14:editId="4DFA4082">
                                  <wp:extent cx="2514600" cy="7636854"/>
                                  <wp:effectExtent l="0" t="0" r="0" b="2540"/>
                                  <wp:docPr id="21349904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5252" cy="7638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0559E" id="_x0000_t202" coordsize="21600,21600" o:spt="202" path="m,l,21600r21600,l21600,xe">
                <v:stroke joinstyle="miter"/>
                <v:path gradientshapeok="t" o:connecttype="rect"/>
              </v:shapetype>
              <v:shape id="Text Box 4" o:spid="_x0000_s1026" type="#_x0000_t202" style="position:absolute;margin-left:8.2pt;margin-top:5pt;width:214.5pt;height:61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" fillcolor="white [3201]" strokeweight=".5pt">
                <v:textbox>
                  <w:txbxContent>
                    <w:p w14:paraId="46CD5F75" w14:textId="62B792ED" w:rsidR="002E1D87" w:rsidRDefault="002E1D87">
                      <w:r w:rsidRPr="002E1D87">
                        <w:rPr>
                          <w:noProof/>
                        </w:rPr>
                        <w:drawing>
                          <wp:inline distT="0" distB="0" distL="0" distR="0" wp14:anchorId="32E2BE65" wp14:editId="4DFA4082">
                            <wp:extent cx="2514600" cy="7636854"/>
                            <wp:effectExtent l="0" t="0" r="0" b="2540"/>
                            <wp:docPr id="21349904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5252" cy="7638835"/>
                                    </a:xfrm>
                                    <a:prstGeom prst="rect">
                                      <a:avLst/>
                                    </a:prstGeom>
                                    <a:noFill/>
                                    <a:ln>
                                      <a:noFill/>
                                    </a:ln>
                                  </pic:spPr>
                                </pic:pic>
                              </a:graphicData>
                            </a:graphic>
                          </wp:inline>
                        </w:drawing>
                      </w:r>
                    </w:p>
                  </w:txbxContent>
                </v:textbox>
              </v:shape>
            </w:pict>
          </mc:Fallback>
        </mc:AlternateContent>
      </w:r>
      <w:r w:rsidRPr="0046702C">
        <w:rPr>
          <w:rFonts w:ascii="Century Gothic" w:hAnsi="Century Gothic"/>
          <w:noProof/>
          <w:color w:val="538135" w:themeColor="accent6" w:themeShade="BF"/>
        </w:rPr>
        <mc:AlternateContent>
          <mc:Choice Requires="wps">
            <w:drawing>
              <wp:anchor distT="0" distB="0" distL="114300" distR="114300" simplePos="0" relativeHeight="251661314" behindDoc="0" locked="0" layoutInCell="1" allowOverlap="1" wp14:anchorId="07957BC4" wp14:editId="2D3C32A0">
                <wp:simplePos x="0" y="0"/>
                <wp:positionH relativeFrom="column">
                  <wp:posOffset>3228340</wp:posOffset>
                </wp:positionH>
                <wp:positionV relativeFrom="paragraph">
                  <wp:posOffset>111125</wp:posOffset>
                </wp:positionV>
                <wp:extent cx="2697480" cy="3724275"/>
                <wp:effectExtent l="0" t="0" r="26670" b="28575"/>
                <wp:wrapNone/>
                <wp:docPr id="74557406" name="Text Box 6"/>
                <wp:cNvGraphicFramePr/>
                <a:graphic xmlns:a="http://schemas.openxmlformats.org/drawingml/2006/main">
                  <a:graphicData uri="http://schemas.microsoft.com/office/word/2010/wordprocessingShape">
                    <wps:wsp>
                      <wps:cNvSpPr txBox="1"/>
                      <wps:spPr>
                        <a:xfrm>
                          <a:off x="0" y="0"/>
                          <a:ext cx="2697480" cy="3724275"/>
                        </a:xfrm>
                        <a:prstGeom prst="rect">
                          <a:avLst/>
                        </a:prstGeom>
                        <a:solidFill>
                          <a:schemeClr val="lt1"/>
                        </a:solidFill>
                        <a:ln w="6350">
                          <a:solidFill>
                            <a:prstClr val="black"/>
                          </a:solidFill>
                        </a:ln>
                      </wps:spPr>
                      <wps:txbx>
                        <w:txbxContent>
                          <w:p w14:paraId="727AE5FB" w14:textId="29F9F0BB" w:rsidR="002E1D87" w:rsidRDefault="002E1D87">
                            <w:r>
                              <w:rPr>
                                <w:noProof/>
                              </w:rPr>
                              <w:drawing>
                                <wp:inline distT="0" distB="0" distL="0" distR="0" wp14:anchorId="74950FC5" wp14:editId="158AF09B">
                                  <wp:extent cx="2602230" cy="3626485"/>
                                  <wp:effectExtent l="0" t="0" r="7620" b="0"/>
                                  <wp:docPr id="1660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578" name=""/>
                                          <pic:cNvPicPr/>
                                        </pic:nvPicPr>
                                        <pic:blipFill>
                                          <a:blip r:embed="rId23"/>
                                          <a:stretch>
                                            <a:fillRect/>
                                          </a:stretch>
                                        </pic:blipFill>
                                        <pic:spPr>
                                          <a:xfrm>
                                            <a:off x="0" y="0"/>
                                            <a:ext cx="2602230" cy="3626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57BC4" id="Text Box 6" o:spid="_x0000_s1027" type="#_x0000_t202" style="position:absolute;margin-left:254.2pt;margin-top:8.75pt;width:212.4pt;height:293.25pt;z-index:251661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" fillcolor="white [3201]" strokeweight=".5pt">
                <v:textbox>
                  <w:txbxContent>
                    <w:p w14:paraId="727AE5FB" w14:textId="29F9F0BB" w:rsidR="002E1D87" w:rsidRDefault="002E1D87">
                      <w:r>
                        <w:rPr>
                          <w:noProof/>
                        </w:rPr>
                        <w:drawing>
                          <wp:inline distT="0" distB="0" distL="0" distR="0" wp14:anchorId="74950FC5" wp14:editId="158AF09B">
                            <wp:extent cx="2602230" cy="3626485"/>
                            <wp:effectExtent l="0" t="0" r="7620" b="0"/>
                            <wp:docPr id="1660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578" name=""/>
                                    <pic:cNvPicPr/>
                                  </pic:nvPicPr>
                                  <pic:blipFill>
                                    <a:blip r:embed="rId23"/>
                                    <a:stretch>
                                      <a:fillRect/>
                                    </a:stretch>
                                  </pic:blipFill>
                                  <pic:spPr>
                                    <a:xfrm>
                                      <a:off x="0" y="0"/>
                                      <a:ext cx="2602230" cy="3626485"/>
                                    </a:xfrm>
                                    <a:prstGeom prst="rect">
                                      <a:avLst/>
                                    </a:prstGeom>
                                  </pic:spPr>
                                </pic:pic>
                              </a:graphicData>
                            </a:graphic>
                          </wp:inline>
                        </w:drawing>
                      </w:r>
                    </w:p>
                  </w:txbxContent>
                </v:textbox>
              </v:shape>
            </w:pict>
          </mc:Fallback>
        </mc:AlternateContent>
      </w:r>
    </w:p>
    <w:p w14:paraId="34CECC78" w14:textId="77777777" w:rsidR="003B3EDD" w:rsidRPr="0046702C" w:rsidRDefault="003B3EDD" w:rsidP="00C03281">
      <w:pPr>
        <w:pStyle w:val="EPMBracket"/>
        <w:rPr>
          <w:rFonts w:ascii="Century Gothic" w:hAnsi="Century Gothic"/>
          <w:color w:val="538135" w:themeColor="accent6" w:themeShade="BF"/>
        </w:rPr>
      </w:pPr>
    </w:p>
    <w:p w14:paraId="5CD2848F" w14:textId="77777777" w:rsidR="003B3EDD" w:rsidRPr="0046702C" w:rsidRDefault="003B3EDD" w:rsidP="00C03281">
      <w:pPr>
        <w:pStyle w:val="EPMBracket"/>
        <w:rPr>
          <w:rFonts w:ascii="Century Gothic" w:hAnsi="Century Gothic"/>
          <w:color w:val="538135" w:themeColor="accent6" w:themeShade="BF"/>
        </w:rPr>
      </w:pPr>
    </w:p>
    <w:p w14:paraId="58F462E0" w14:textId="77777777" w:rsidR="003B3EDD" w:rsidRPr="0046702C" w:rsidRDefault="003B3EDD" w:rsidP="00C03281">
      <w:pPr>
        <w:pStyle w:val="EPMBracket"/>
        <w:rPr>
          <w:rFonts w:ascii="Century Gothic" w:hAnsi="Century Gothic"/>
          <w:color w:val="538135" w:themeColor="accent6" w:themeShade="BF"/>
        </w:rPr>
      </w:pPr>
    </w:p>
    <w:p w14:paraId="457B6DB3" w14:textId="77777777" w:rsidR="003B3EDD" w:rsidRPr="0046702C" w:rsidRDefault="003B3EDD" w:rsidP="00C03281">
      <w:pPr>
        <w:pStyle w:val="EPMBracket"/>
        <w:rPr>
          <w:rFonts w:ascii="Century Gothic" w:hAnsi="Century Gothic"/>
          <w:color w:val="538135" w:themeColor="accent6" w:themeShade="BF"/>
        </w:rPr>
      </w:pPr>
    </w:p>
    <w:p w14:paraId="5A92BD90" w14:textId="77777777" w:rsidR="003B3EDD" w:rsidRPr="0046702C" w:rsidRDefault="003B3EDD" w:rsidP="00C03281">
      <w:pPr>
        <w:pStyle w:val="EPMBracket"/>
        <w:rPr>
          <w:rFonts w:ascii="Century Gothic" w:hAnsi="Century Gothic"/>
          <w:color w:val="538135" w:themeColor="accent6" w:themeShade="BF"/>
        </w:rPr>
      </w:pPr>
    </w:p>
    <w:p w14:paraId="0B542610" w14:textId="77777777" w:rsidR="003B3EDD" w:rsidRPr="0046702C" w:rsidRDefault="003B3EDD" w:rsidP="00C03281">
      <w:pPr>
        <w:pStyle w:val="EPMBracket"/>
        <w:rPr>
          <w:rFonts w:ascii="Century Gothic" w:hAnsi="Century Gothic"/>
          <w:color w:val="538135" w:themeColor="accent6" w:themeShade="BF"/>
        </w:rPr>
      </w:pPr>
    </w:p>
    <w:p w14:paraId="0ED6B7A0" w14:textId="77777777" w:rsidR="003B3EDD" w:rsidRPr="0046702C" w:rsidRDefault="003B3EDD" w:rsidP="00C03281">
      <w:pPr>
        <w:pStyle w:val="EPMBracket"/>
        <w:rPr>
          <w:rFonts w:ascii="Century Gothic" w:hAnsi="Century Gothic"/>
          <w:color w:val="538135" w:themeColor="accent6" w:themeShade="BF"/>
        </w:rPr>
      </w:pPr>
    </w:p>
    <w:p w14:paraId="1C993BD8" w14:textId="17E412D3" w:rsidR="003B3EDD" w:rsidRPr="0046702C" w:rsidRDefault="003B3EDD" w:rsidP="00C03281">
      <w:pPr>
        <w:pStyle w:val="EPMBracket"/>
        <w:rPr>
          <w:rFonts w:ascii="Century Gothic" w:hAnsi="Century Gothic"/>
          <w:color w:val="538135" w:themeColor="accent6" w:themeShade="BF"/>
        </w:rPr>
      </w:pPr>
    </w:p>
    <w:sectPr w:rsidR="003B3EDD" w:rsidRPr="0046702C" w:rsidSect="002E1D87">
      <w:pgSz w:w="11906" w:h="16838"/>
      <w:pgMar w:top="1695" w:right="1021" w:bottom="851" w:left="1021" w:header="283"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1" w:author="Alison Anderson" w:date="2023-11-15T15:34:00Z" w:initials="AA">
    <w:p w14:paraId="75149062" w14:textId="30F3E787" w:rsidR="00970F97" w:rsidRDefault="00970F9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1490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30CAC0" w16cex:dateUtc="2023-11-15T15: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149062" w16cid:durableId="3F30CA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B6883" w14:textId="77777777" w:rsidR="00657BAA" w:rsidRDefault="00657BAA" w:rsidP="002C1565">
      <w:r>
        <w:separator/>
      </w:r>
    </w:p>
  </w:endnote>
  <w:endnote w:type="continuationSeparator" w:id="0">
    <w:p w14:paraId="3A3F8291" w14:textId="77777777" w:rsidR="00657BAA" w:rsidRDefault="00657BAA" w:rsidP="002C1565">
      <w:r>
        <w:continuationSeparator/>
      </w:r>
    </w:p>
  </w:endnote>
  <w:endnote w:type="continuationNotice" w:id="1">
    <w:p w14:paraId="34689C2C" w14:textId="77777777" w:rsidR="00657BAA" w:rsidRDefault="00657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Demi">
    <w:altName w:val="Calibri"/>
    <w:charset w:val="00"/>
    <w:family w:val="swiss"/>
    <w:pitch w:val="variable"/>
    <w:sig w:usb0="800000EF" w:usb1="5000204A" w:usb2="00000000" w:usb3="00000000" w:csb0="00000093" w:csb1="00000000"/>
  </w:font>
  <w:font w:name="Avenir Next LT Pro">
    <w:altName w:val="Calibri"/>
    <w:charset w:val="00"/>
    <w:family w:val="swiss"/>
    <w:pitch w:val="variable"/>
    <w:sig w:usb0="800000EF" w:usb1="5000204A"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227A" w14:textId="078C36EF" w:rsidR="00F17EA3" w:rsidRPr="003E3987" w:rsidRDefault="00F17EA3" w:rsidP="00C91E4C">
    <w:pPr>
      <w:tabs>
        <w:tab w:val="left" w:pos="198"/>
        <w:tab w:val="right" w:pos="9639"/>
      </w:tabs>
      <w:snapToGrid w:val="0"/>
      <w:ind w:firstLine="360"/>
      <w:rPr>
        <w:rFonts w:ascii="Calibri" w:hAnsi="Calibri" w:cs="Calibri"/>
        <w:color w:val="808080" w:themeColor="background1" w:themeShade="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 w:val="16"/>
        <w:szCs w:val="16"/>
      </w:rPr>
      <w:id w:val="402569588"/>
      <w:docPartObj>
        <w:docPartGallery w:val="Page Numbers (Bottom of Page)"/>
        <w:docPartUnique/>
      </w:docPartObj>
    </w:sdtPr>
    <w:sdtContent>
      <w:p w14:paraId="397477A7" w14:textId="7E3DD7A9" w:rsidR="000A69A2" w:rsidRPr="0099024B" w:rsidRDefault="000A69A2" w:rsidP="000A69A2">
        <w:pPr>
          <w:framePr w:w="202" w:h="240" w:hRule="exact" w:wrap="none" w:vAnchor="text" w:hAnchor="page" w:x="1006" w:yAlign="top"/>
          <w:rPr>
            <w:rStyle w:val="PageNumber"/>
            <w:rFonts w:cs="Arial"/>
            <w:sz w:val="16"/>
            <w:szCs w:val="16"/>
          </w:rPr>
        </w:pPr>
        <w:r w:rsidRPr="0099024B">
          <w:rPr>
            <w:rStyle w:val="PageNumber"/>
            <w:rFonts w:cs="Arial"/>
            <w:sz w:val="16"/>
            <w:szCs w:val="16"/>
          </w:rPr>
          <w:fldChar w:fldCharType="begin"/>
        </w:r>
        <w:r w:rsidRPr="0099024B">
          <w:rPr>
            <w:rStyle w:val="PageNumber"/>
            <w:rFonts w:cs="Arial"/>
            <w:sz w:val="16"/>
            <w:szCs w:val="16"/>
          </w:rPr>
          <w:instrText xml:space="preserve"> PAGE </w:instrText>
        </w:r>
        <w:r w:rsidRPr="0099024B">
          <w:rPr>
            <w:rStyle w:val="PageNumber"/>
            <w:rFonts w:cs="Arial"/>
            <w:sz w:val="16"/>
            <w:szCs w:val="16"/>
          </w:rPr>
          <w:fldChar w:fldCharType="separate"/>
        </w:r>
        <w:r w:rsidR="00A12445">
          <w:rPr>
            <w:rStyle w:val="PageNumber"/>
            <w:rFonts w:cs="Arial"/>
            <w:noProof/>
            <w:sz w:val="16"/>
            <w:szCs w:val="16"/>
          </w:rPr>
          <w:t>2</w:t>
        </w:r>
        <w:r w:rsidRPr="0099024B">
          <w:rPr>
            <w:rStyle w:val="PageNumber"/>
            <w:rFonts w:cs="Arial"/>
            <w:sz w:val="16"/>
            <w:szCs w:val="16"/>
          </w:rPr>
          <w:fldChar w:fldCharType="end"/>
        </w:r>
      </w:p>
    </w:sdtContent>
  </w:sdt>
  <w:p w14:paraId="31FBE778" w14:textId="239D05F5" w:rsidR="00F13DD1" w:rsidRPr="000A69A2" w:rsidRDefault="002E1D87" w:rsidP="002E1D87">
    <w:pPr>
      <w:tabs>
        <w:tab w:val="left" w:pos="198"/>
        <w:tab w:val="right" w:pos="9639"/>
      </w:tabs>
      <w:snapToGrid w:val="0"/>
      <w:rPr>
        <w:rFonts w:ascii="Calibri" w:hAnsi="Calibri" w:cs="Calibri"/>
        <w:color w:val="808080" w:themeColor="background1" w:themeShade="80"/>
        <w:sz w:val="16"/>
        <w:szCs w:val="16"/>
      </w:rPr>
    </w:pPr>
    <w:r>
      <w:rPr>
        <w:rFonts w:ascii="Calibri" w:hAnsi="Calibri" w:cs="Calibri"/>
        <w:noProof/>
        <w:color w:val="242E55"/>
        <w:sz w:val="16"/>
        <w:szCs w:val="16"/>
      </w:rPr>
      <w:drawing>
        <wp:inline distT="0" distB="0" distL="0" distR="0" wp14:anchorId="7BAFB3E1" wp14:editId="3D966A8B">
          <wp:extent cx="466725" cy="466725"/>
          <wp:effectExtent l="0" t="0" r="9525" b="9525"/>
          <wp:docPr id="1828384193" name="Picture 182838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0277" name="Picture 182990277"/>
                  <pic:cNvPicPr/>
                </pic:nvPicPr>
                <pic:blipFill>
                  <a:blip r:embed="rId1">
                    <a:extLst>
                      <a:ext uri="{28A0092B-C50C-407E-A947-70E740481C1C}">
                        <a14:useLocalDpi xmlns:a14="http://schemas.microsoft.com/office/drawing/2010/main" val="0"/>
                      </a:ext>
                    </a:extLst>
                  </a:blip>
                  <a:stretch>
                    <a:fillRect/>
                  </a:stretch>
                </pic:blipFill>
                <pic:spPr>
                  <a:xfrm>
                    <a:off x="0" y="0"/>
                    <a:ext cx="466764" cy="466764"/>
                  </a:xfrm>
                  <a:prstGeom prst="rect">
                    <a:avLst/>
                  </a:prstGeom>
                </pic:spPr>
              </pic:pic>
            </a:graphicData>
          </a:graphic>
        </wp:inline>
      </w:drawing>
    </w:r>
    <w:r>
      <w:rPr>
        <w:rFonts w:ascii="Calibri" w:hAnsi="Calibri" w:cs="Calibri"/>
        <w:color w:val="242E55"/>
        <w:sz w:val="16"/>
        <w:szCs w:val="16"/>
      </w:rPr>
      <w:t xml:space="preserve">                                                     ACT Multi Academy Trust Pay Policy 2023 Version 1                                                                          </w:t>
    </w:r>
    <w:r>
      <w:rPr>
        <w:rFonts w:ascii="Calibri" w:hAnsi="Calibri" w:cs="Calibri"/>
        <w:noProof/>
        <w:color w:val="242E55"/>
        <w:sz w:val="16"/>
        <w:szCs w:val="16"/>
      </w:rPr>
      <w:drawing>
        <wp:inline distT="0" distB="0" distL="0" distR="0" wp14:anchorId="2F7E4E28" wp14:editId="0B5C3B4D">
          <wp:extent cx="469265" cy="469265"/>
          <wp:effectExtent l="0" t="0" r="6985" b="6985"/>
          <wp:docPr id="6816296" name="Picture 681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0A69A2" w:rsidRPr="00F17EA3">
      <w:rPr>
        <w:rFonts w:ascii="Calibri" w:hAnsi="Calibri" w:cs="Calibri"/>
        <w:color w:val="242E55"/>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C7200" w14:textId="77777777" w:rsidR="00657BAA" w:rsidRDefault="00657BAA" w:rsidP="002C1565">
      <w:r>
        <w:separator/>
      </w:r>
    </w:p>
  </w:footnote>
  <w:footnote w:type="continuationSeparator" w:id="0">
    <w:p w14:paraId="55069C0D" w14:textId="77777777" w:rsidR="00657BAA" w:rsidRDefault="00657BAA" w:rsidP="002C1565">
      <w:r>
        <w:continuationSeparator/>
      </w:r>
    </w:p>
  </w:footnote>
  <w:footnote w:type="continuationNotice" w:id="1">
    <w:p w14:paraId="29469C90" w14:textId="77777777" w:rsidR="00657BAA" w:rsidRDefault="00657B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2248" w14:textId="6AE2C393" w:rsidR="00F13DD1" w:rsidRPr="00274850" w:rsidRDefault="00F13DD1" w:rsidP="00274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F44"/>
    <w:multiLevelType w:val="hybridMultilevel"/>
    <w:tmpl w:val="E59668DE"/>
    <w:lvl w:ilvl="0" w:tplc="9C003828">
      <w:start w:val="1"/>
      <w:numFmt w:val="decimal"/>
      <w:pStyle w:val="Numberedheadings"/>
      <w:lvlText w:val="%1."/>
      <w:lvlJc w:val="left"/>
      <w:pPr>
        <w:ind w:left="720" w:hanging="360"/>
      </w:pPr>
      <w:rPr>
        <w:rFonts w:hint="default"/>
        <w:color w:val="007AC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51EA1"/>
    <w:multiLevelType w:val="hybridMultilevel"/>
    <w:tmpl w:val="785E1E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BB1D60"/>
    <w:multiLevelType w:val="hybridMultilevel"/>
    <w:tmpl w:val="2A8222E0"/>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1F949BC"/>
    <w:multiLevelType w:val="multilevel"/>
    <w:tmpl w:val="EEC0F9CC"/>
    <w:lvl w:ilvl="0">
      <w:start w:val="1"/>
      <w:numFmt w:val="decimal"/>
      <w:pStyle w:val="EPMNumberedHeading"/>
      <w:lvlText w:val="%1."/>
      <w:lvlJc w:val="left"/>
      <w:pPr>
        <w:ind w:left="360" w:hanging="360"/>
      </w:pPr>
    </w:lvl>
    <w:lvl w:ilvl="1">
      <w:start w:val="1"/>
      <w:numFmt w:val="decimal"/>
      <w:pStyle w:val="Numberedsubheading"/>
      <w:lvlText w:val="%1.%2."/>
      <w:lvlJc w:val="left"/>
      <w:pPr>
        <w:ind w:left="792" w:hanging="432"/>
      </w:pPr>
      <w:rPr>
        <w:b w:val="0"/>
        <w:bCs w:val="0"/>
        <w:color w:val="auto"/>
      </w:rPr>
    </w:lvl>
    <w:lvl w:ilvl="2">
      <w:start w:val="1"/>
      <w:numFmt w:val="decimal"/>
      <w:pStyle w:val="Numberedsubheading2"/>
      <w:lvlText w:val="%1.%2.%3."/>
      <w:lvlJc w:val="left"/>
      <w:pPr>
        <w:ind w:left="291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190101"/>
    <w:multiLevelType w:val="hybridMultilevel"/>
    <w:tmpl w:val="82929EC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0A8B2409"/>
    <w:multiLevelType w:val="hybridMultilevel"/>
    <w:tmpl w:val="6F52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43495"/>
    <w:multiLevelType w:val="hybridMultilevel"/>
    <w:tmpl w:val="785E1E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B5534"/>
    <w:multiLevelType w:val="hybridMultilevel"/>
    <w:tmpl w:val="C30AE8C0"/>
    <w:lvl w:ilvl="0" w:tplc="A01CD17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2529B7"/>
    <w:multiLevelType w:val="hybridMultilevel"/>
    <w:tmpl w:val="61C8A53A"/>
    <w:lvl w:ilvl="0" w:tplc="513851BA">
      <w:start w:val="1"/>
      <w:numFmt w:val="decimal"/>
      <w:pStyle w:val="EPMNumberedcopy"/>
      <w:lvlText w:val="%1."/>
      <w:lvlJc w:val="left"/>
      <w:pPr>
        <w:ind w:left="360" w:hanging="360"/>
      </w:pPr>
      <w:rPr>
        <w:rFonts w:asciiTheme="minorHAnsi" w:hAnsiTheme="minorHAnsi"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485758"/>
    <w:multiLevelType w:val="hybridMultilevel"/>
    <w:tmpl w:val="338033F0"/>
    <w:lvl w:ilvl="0" w:tplc="EFA2BC4A">
      <w:start w:val="1"/>
      <w:numFmt w:val="decimal"/>
      <w:lvlText w:val="%1."/>
      <w:lvlJc w:val="left"/>
      <w:pPr>
        <w:ind w:left="720" w:hanging="360"/>
      </w:pPr>
      <w:rPr>
        <w:rFonts w:hint="default"/>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C527D3"/>
    <w:multiLevelType w:val="hybridMultilevel"/>
    <w:tmpl w:val="19089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17">
      <w:start w:val="1"/>
      <w:numFmt w:val="lowerLetter"/>
      <w:lvlText w:val="%4)"/>
      <w:lvlJc w:val="left"/>
      <w:pPr>
        <w:ind w:left="2880" w:hanging="360"/>
      </w:p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44105A"/>
    <w:multiLevelType w:val="hybridMultilevel"/>
    <w:tmpl w:val="DD46476C"/>
    <w:lvl w:ilvl="0" w:tplc="466051DE">
      <w:start w:val="21"/>
      <w:numFmt w:val="bullet"/>
      <w:lvlText w:val="•"/>
      <w:lvlJc w:val="left"/>
      <w:pPr>
        <w:ind w:left="1135" w:hanging="360"/>
      </w:pPr>
      <w:rPr>
        <w:rFonts w:ascii="Calibri" w:eastAsiaTheme="minorHAnsi" w:hAnsi="Calibri" w:cs="Calibri" w:hint="default"/>
        <w:color w:val="A41556"/>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17530AF9"/>
    <w:multiLevelType w:val="hybridMultilevel"/>
    <w:tmpl w:val="6F5235D2"/>
    <w:lvl w:ilvl="0" w:tplc="1A0697E0">
      <w:start w:val="1"/>
      <w:numFmt w:val="bullet"/>
      <w:lvlText w:val="o"/>
      <w:lvlJc w:val="left"/>
      <w:pPr>
        <w:ind w:left="1778" w:hanging="360"/>
      </w:pPr>
      <w:rPr>
        <w:rFonts w:ascii="Courier New" w:hAnsi="Courier New" w:cs="Courier New" w:hint="default"/>
        <w:color w:val="A41556"/>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18FE7206"/>
    <w:multiLevelType w:val="hybridMultilevel"/>
    <w:tmpl w:val="785E1E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BE5933"/>
    <w:multiLevelType w:val="hybridMultilevel"/>
    <w:tmpl w:val="2A8222E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1D493A2E"/>
    <w:multiLevelType w:val="hybridMultilevel"/>
    <w:tmpl w:val="B00C624C"/>
    <w:lvl w:ilvl="0" w:tplc="D0549F66">
      <w:start w:val="21"/>
      <w:numFmt w:val="bullet"/>
      <w:lvlText w:val="•"/>
      <w:lvlJc w:val="left"/>
      <w:pPr>
        <w:ind w:left="644" w:hanging="360"/>
      </w:pPr>
      <w:rPr>
        <w:rFonts w:ascii="Calibri" w:eastAsiaTheme="minorHAnsi" w:hAnsi="Calibri" w:cs="Calibri" w:hint="default"/>
        <w:color w:val="A4155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ECE738C"/>
    <w:multiLevelType w:val="hybridMultilevel"/>
    <w:tmpl w:val="785E1E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83406F"/>
    <w:multiLevelType w:val="multilevel"/>
    <w:tmpl w:val="569293B6"/>
    <w:styleLink w:val="CurrentList1"/>
    <w:lvl w:ilvl="0">
      <w:start w:val="1"/>
      <w:numFmt w:val="decimal"/>
      <w:lvlText w:val="%1."/>
      <w:lvlJc w:val="left"/>
      <w:pPr>
        <w:ind w:left="720" w:hanging="360"/>
      </w:pPr>
      <w:rPr>
        <w:color w:val="A4155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B93AD6"/>
    <w:multiLevelType w:val="hybridMultilevel"/>
    <w:tmpl w:val="785E1E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E562D7"/>
    <w:multiLevelType w:val="hybridMultilevel"/>
    <w:tmpl w:val="785E1E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1E2C82"/>
    <w:multiLevelType w:val="hybridMultilevel"/>
    <w:tmpl w:val="64D4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816A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509547A"/>
    <w:multiLevelType w:val="hybridMultilevel"/>
    <w:tmpl w:val="ADECAB7E"/>
    <w:lvl w:ilvl="0" w:tplc="71D6A5B2">
      <w:start w:val="21"/>
      <w:numFmt w:val="bullet"/>
      <w:pStyle w:val="EPMBullets"/>
      <w:lvlText w:val="•"/>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4962AF"/>
    <w:multiLevelType w:val="hybridMultilevel"/>
    <w:tmpl w:val="2A8222E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35566FA7"/>
    <w:multiLevelType w:val="hybridMultilevel"/>
    <w:tmpl w:val="1474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4E0C2B"/>
    <w:multiLevelType w:val="hybridMultilevel"/>
    <w:tmpl w:val="7B9C8DBE"/>
    <w:lvl w:ilvl="0" w:tplc="5C9C3C34">
      <w:start w:val="1"/>
      <w:numFmt w:val="decimal"/>
      <w:pStyle w:val="Numbered"/>
      <w:lvlText w:val="%1."/>
      <w:lvlJc w:val="left"/>
      <w:pPr>
        <w:ind w:left="360" w:hanging="360"/>
      </w:pPr>
      <w:rPr>
        <w:rFonts w:hint="default"/>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6C7113"/>
    <w:multiLevelType w:val="multilevel"/>
    <w:tmpl w:val="16284F82"/>
    <w:lvl w:ilvl="0">
      <w:start w:val="1"/>
      <w:numFmt w:val="decimal"/>
      <w:pStyle w:val="Sectionheading"/>
      <w:lvlText w:val="%1."/>
      <w:lvlJc w:val="left"/>
      <w:pPr>
        <w:ind w:left="900" w:hanging="360"/>
      </w:pPr>
      <w:rPr>
        <w:color w:val="FF4874"/>
      </w:rPr>
    </w:lvl>
    <w:lvl w:ilvl="1">
      <w:start w:val="1"/>
      <w:numFmt w:val="decimal"/>
      <w:pStyle w:val="Section-Level2"/>
      <w:lvlText w:val="%1.%2."/>
      <w:lvlJc w:val="left"/>
      <w:pPr>
        <w:ind w:left="858" w:hanging="432"/>
      </w:pPr>
      <w:rPr>
        <w:color w:val="44474A"/>
      </w:rPr>
    </w:lvl>
    <w:lvl w:ilvl="2">
      <w:start w:val="1"/>
      <w:numFmt w:val="decimal"/>
      <w:pStyle w:val="Section-Level3"/>
      <w:lvlText w:val="%1.%2.%3."/>
      <w:lvlJc w:val="left"/>
      <w:pPr>
        <w:ind w:left="1224" w:hanging="504"/>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3B6663"/>
    <w:multiLevelType w:val="hybridMultilevel"/>
    <w:tmpl w:val="5A9A35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BD474D7"/>
    <w:multiLevelType w:val="hybridMultilevel"/>
    <w:tmpl w:val="5BA2D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5E7630E"/>
    <w:multiLevelType w:val="hybridMultilevel"/>
    <w:tmpl w:val="B4D4BA58"/>
    <w:lvl w:ilvl="0" w:tplc="6E9CDBCC">
      <w:start w:val="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E065A8"/>
    <w:multiLevelType w:val="hybridMultilevel"/>
    <w:tmpl w:val="654C707E"/>
    <w:lvl w:ilvl="0" w:tplc="F93897C2">
      <w:start w:val="1"/>
      <w:numFmt w:val="bullet"/>
      <w:lvlText w:val="o"/>
      <w:lvlJc w:val="left"/>
      <w:pPr>
        <w:ind w:left="720" w:hanging="360"/>
      </w:pPr>
      <w:rPr>
        <w:rFonts w:ascii="Courier New" w:hAnsi="Courier New" w:cs="Courier New" w:hint="default"/>
        <w:color w:val="A415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DD2ED1"/>
    <w:multiLevelType w:val="hybridMultilevel"/>
    <w:tmpl w:val="2AD48E2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534B2274"/>
    <w:multiLevelType w:val="hybridMultilevel"/>
    <w:tmpl w:val="785E1E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700EF8"/>
    <w:multiLevelType w:val="hybridMultilevel"/>
    <w:tmpl w:val="05B8D544"/>
    <w:lvl w:ilvl="0" w:tplc="0D748864">
      <w:numFmt w:val="bullet"/>
      <w:lvlText w:val=""/>
      <w:lvlJc w:val="left"/>
      <w:pPr>
        <w:ind w:left="1778" w:hanging="360"/>
      </w:pPr>
      <w:rPr>
        <w:rFonts w:ascii="Symbol" w:eastAsiaTheme="minorHAnsi" w:hAnsi="Symbol" w:cstheme="minorBidi" w:hint="default"/>
        <w:color w:val="FF4874"/>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4" w15:restartNumberingAfterBreak="0">
    <w:nsid w:val="65537C02"/>
    <w:multiLevelType w:val="hybridMultilevel"/>
    <w:tmpl w:val="3834A6F0"/>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5" w15:restartNumberingAfterBreak="0">
    <w:nsid w:val="69CC0DD6"/>
    <w:multiLevelType w:val="hybridMultilevel"/>
    <w:tmpl w:val="83AE1B20"/>
    <w:lvl w:ilvl="0" w:tplc="0590E956">
      <w:start w:val="1"/>
      <w:numFmt w:val="bullet"/>
      <w:pStyle w:val="Bullets"/>
      <w:lvlText w:val=""/>
      <w:lvlJc w:val="left"/>
      <w:pPr>
        <w:ind w:left="360" w:hanging="360"/>
      </w:pPr>
      <w:rPr>
        <w:rFonts w:ascii="Symbol" w:hAnsi="Symbol" w:hint="default"/>
        <w:color w:val="1381B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2C0480"/>
    <w:multiLevelType w:val="hybridMultilevel"/>
    <w:tmpl w:val="9E022B2C"/>
    <w:lvl w:ilvl="0" w:tplc="AD0C29D8">
      <w:start w:val="1"/>
      <w:numFmt w:val="bullet"/>
      <w:lvlText w:val="o"/>
      <w:lvlJc w:val="left"/>
      <w:pPr>
        <w:ind w:left="862" w:hanging="360"/>
      </w:pPr>
      <w:rPr>
        <w:rFonts w:ascii="Courier New" w:hAnsi="Courier New" w:cs="Courier New" w:hint="default"/>
        <w:color w:val="A41556"/>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7" w15:restartNumberingAfterBreak="0">
    <w:nsid w:val="6FD91E5D"/>
    <w:multiLevelType w:val="multilevel"/>
    <w:tmpl w:val="F98A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3A010C"/>
    <w:multiLevelType w:val="hybridMultilevel"/>
    <w:tmpl w:val="D03C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6D43D3"/>
    <w:multiLevelType w:val="hybridMultilevel"/>
    <w:tmpl w:val="69E04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852FB4"/>
    <w:multiLevelType w:val="hybridMultilevel"/>
    <w:tmpl w:val="785E1E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83276C"/>
    <w:multiLevelType w:val="multilevel"/>
    <w:tmpl w:val="37C6F5BA"/>
    <w:lvl w:ilvl="0">
      <w:start w:val="1"/>
      <w:numFmt w:val="decimal"/>
      <w:pStyle w:val="Numbered1"/>
      <w:lvlText w:val="%1."/>
      <w:lvlJc w:val="left"/>
      <w:pPr>
        <w:ind w:left="1080" w:hanging="720"/>
      </w:pPr>
      <w:rPr>
        <w:rFonts w:hint="default"/>
      </w:rPr>
    </w:lvl>
    <w:lvl w:ilvl="1">
      <w:start w:val="1"/>
      <w:numFmt w:val="decimal"/>
      <w:pStyle w:val="Numbered2"/>
      <w:isLgl/>
      <w:lvlText w:val="%1.%2"/>
      <w:lvlJc w:val="left"/>
      <w:pPr>
        <w:ind w:left="1440" w:hanging="720"/>
      </w:pPr>
      <w:rPr>
        <w:rFonts w:hint="default"/>
        <w:b/>
        <w:sz w:val="22"/>
      </w:rPr>
    </w:lvl>
    <w:lvl w:ilvl="2">
      <w:start w:val="1"/>
      <w:numFmt w:val="decimal"/>
      <w:pStyle w:val="Numbered3"/>
      <w:isLgl/>
      <w:lvlText w:val="%1.%2.%3"/>
      <w:lvlJc w:val="left"/>
      <w:pPr>
        <w:ind w:left="2422"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77F7085C"/>
    <w:multiLevelType w:val="hybridMultilevel"/>
    <w:tmpl w:val="B1B4F898"/>
    <w:lvl w:ilvl="0" w:tplc="4ED23578">
      <w:start w:val="21"/>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3" w15:restartNumberingAfterBreak="0">
    <w:nsid w:val="7A5E2999"/>
    <w:multiLevelType w:val="hybridMultilevel"/>
    <w:tmpl w:val="2AD48E2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4" w15:restartNumberingAfterBreak="0">
    <w:nsid w:val="7DBA18AB"/>
    <w:multiLevelType w:val="hybridMultilevel"/>
    <w:tmpl w:val="2AD48E2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16cid:durableId="737896080">
    <w:abstractNumId w:val="29"/>
  </w:num>
  <w:num w:numId="2" w16cid:durableId="1609384743">
    <w:abstractNumId w:val="12"/>
  </w:num>
  <w:num w:numId="3" w16cid:durableId="1722090137">
    <w:abstractNumId w:val="36"/>
  </w:num>
  <w:num w:numId="4" w16cid:durableId="39323065">
    <w:abstractNumId w:val="11"/>
  </w:num>
  <w:num w:numId="5" w16cid:durableId="1984967745">
    <w:abstractNumId w:val="30"/>
  </w:num>
  <w:num w:numId="6" w16cid:durableId="1115565139">
    <w:abstractNumId w:val="7"/>
  </w:num>
  <w:num w:numId="7" w16cid:durableId="1081753331">
    <w:abstractNumId w:val="42"/>
  </w:num>
  <w:num w:numId="8" w16cid:durableId="1522473506">
    <w:abstractNumId w:val="15"/>
  </w:num>
  <w:num w:numId="9" w16cid:durableId="734012745">
    <w:abstractNumId w:val="8"/>
  </w:num>
  <w:num w:numId="10" w16cid:durableId="1144009821">
    <w:abstractNumId w:val="22"/>
  </w:num>
  <w:num w:numId="11" w16cid:durableId="1440685534">
    <w:abstractNumId w:val="17"/>
  </w:num>
  <w:num w:numId="12" w16cid:durableId="967589154">
    <w:abstractNumId w:val="3"/>
  </w:num>
  <w:num w:numId="13" w16cid:durableId="270627356">
    <w:abstractNumId w:val="21"/>
  </w:num>
  <w:num w:numId="14" w16cid:durableId="1650669476">
    <w:abstractNumId w:val="3"/>
  </w:num>
  <w:num w:numId="15" w16cid:durableId="1905606079">
    <w:abstractNumId w:val="3"/>
  </w:num>
  <w:num w:numId="16" w16cid:durableId="7405211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2161497">
    <w:abstractNumId w:val="3"/>
  </w:num>
  <w:num w:numId="18" w16cid:durableId="1577401064">
    <w:abstractNumId w:val="37"/>
  </w:num>
  <w:num w:numId="19" w16cid:durableId="2060008931">
    <w:abstractNumId w:val="20"/>
  </w:num>
  <w:num w:numId="20" w16cid:durableId="1993868633">
    <w:abstractNumId w:val="35"/>
  </w:num>
  <w:num w:numId="21" w16cid:durableId="670332821">
    <w:abstractNumId w:val="26"/>
  </w:num>
  <w:num w:numId="22" w16cid:durableId="1094864332">
    <w:abstractNumId w:val="33"/>
  </w:num>
  <w:num w:numId="23" w16cid:durableId="1181890555">
    <w:abstractNumId w:val="6"/>
  </w:num>
  <w:num w:numId="24" w16cid:durableId="951762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5934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01061524">
    <w:abstractNumId w:val="34"/>
  </w:num>
  <w:num w:numId="27" w16cid:durableId="61298412">
    <w:abstractNumId w:val="19"/>
  </w:num>
  <w:num w:numId="28" w16cid:durableId="843978381">
    <w:abstractNumId w:val="2"/>
  </w:num>
  <w:num w:numId="29" w16cid:durableId="1353145050">
    <w:abstractNumId w:val="16"/>
  </w:num>
  <w:num w:numId="30" w16cid:durableId="2091390612">
    <w:abstractNumId w:val="14"/>
  </w:num>
  <w:num w:numId="31" w16cid:durableId="19668981">
    <w:abstractNumId w:val="1"/>
  </w:num>
  <w:num w:numId="32" w16cid:durableId="767772205">
    <w:abstractNumId w:val="23"/>
  </w:num>
  <w:num w:numId="33" w16cid:durableId="610279577">
    <w:abstractNumId w:val="25"/>
  </w:num>
  <w:num w:numId="34" w16cid:durableId="368190677">
    <w:abstractNumId w:val="13"/>
  </w:num>
  <w:num w:numId="35" w16cid:durableId="374550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2220032">
    <w:abstractNumId w:val="4"/>
  </w:num>
  <w:num w:numId="37" w16cid:durableId="710112266">
    <w:abstractNumId w:val="18"/>
  </w:num>
  <w:num w:numId="38" w16cid:durableId="754202900">
    <w:abstractNumId w:val="44"/>
  </w:num>
  <w:num w:numId="39" w16cid:durableId="1605530278">
    <w:abstractNumId w:val="41"/>
  </w:num>
  <w:num w:numId="40" w16cid:durableId="1877544015">
    <w:abstractNumId w:val="40"/>
  </w:num>
  <w:num w:numId="41" w16cid:durableId="1152211290">
    <w:abstractNumId w:val="31"/>
  </w:num>
  <w:num w:numId="42" w16cid:durableId="329220065">
    <w:abstractNumId w:val="32"/>
  </w:num>
  <w:num w:numId="43" w16cid:durableId="1787852409">
    <w:abstractNumId w:val="43"/>
  </w:num>
  <w:num w:numId="44" w16cid:durableId="1286111187">
    <w:abstractNumId w:val="9"/>
    <w:lvlOverride w:ilvl="0">
      <w:startOverride w:val="1"/>
    </w:lvlOverride>
  </w:num>
  <w:num w:numId="45" w16cid:durableId="935286633">
    <w:abstractNumId w:val="25"/>
    <w:lvlOverride w:ilvl="0">
      <w:startOverride w:val="1"/>
    </w:lvlOverride>
  </w:num>
  <w:num w:numId="46" w16cid:durableId="1106537587">
    <w:abstractNumId w:val="25"/>
    <w:lvlOverride w:ilvl="0">
      <w:startOverride w:val="2"/>
    </w:lvlOverride>
  </w:num>
  <w:num w:numId="47" w16cid:durableId="379790604">
    <w:abstractNumId w:val="10"/>
  </w:num>
  <w:num w:numId="48" w16cid:durableId="2046175441">
    <w:abstractNumId w:val="27"/>
  </w:num>
  <w:num w:numId="49" w16cid:durableId="566914900">
    <w:abstractNumId w:val="0"/>
  </w:num>
  <w:num w:numId="50" w16cid:durableId="1488738838">
    <w:abstractNumId w:val="28"/>
  </w:num>
  <w:num w:numId="51" w16cid:durableId="1778941482">
    <w:abstractNumId w:val="39"/>
  </w:num>
  <w:num w:numId="52" w16cid:durableId="901675007">
    <w:abstractNumId w:val="24"/>
  </w:num>
  <w:num w:numId="53" w16cid:durableId="1162503611">
    <w:abstractNumId w:val="38"/>
  </w:num>
  <w:num w:numId="54" w16cid:durableId="7544602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son Anderson">
    <w15:presenceInfo w15:providerId="AD" w15:userId="S::aanderson@bpa.act-academytrust.org::f2a88358-4fe9-49b4-bb1a-38396424c6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wNLewNDS1NDM1NTBW0lEKTi0uzszPAykwNK0FANgcWactAAAA"/>
  </w:docVars>
  <w:rsids>
    <w:rsidRoot w:val="002C1565"/>
    <w:rsid w:val="0000207B"/>
    <w:rsid w:val="00003F42"/>
    <w:rsid w:val="000168DE"/>
    <w:rsid w:val="000232A2"/>
    <w:rsid w:val="000249E9"/>
    <w:rsid w:val="0004555D"/>
    <w:rsid w:val="00045F9D"/>
    <w:rsid w:val="000516BA"/>
    <w:rsid w:val="0006226F"/>
    <w:rsid w:val="000652A5"/>
    <w:rsid w:val="000675EA"/>
    <w:rsid w:val="00070FFF"/>
    <w:rsid w:val="00074A02"/>
    <w:rsid w:val="00086C85"/>
    <w:rsid w:val="00092BD7"/>
    <w:rsid w:val="000A08F4"/>
    <w:rsid w:val="000A68CD"/>
    <w:rsid w:val="000A69A2"/>
    <w:rsid w:val="000A7D76"/>
    <w:rsid w:val="000B30F7"/>
    <w:rsid w:val="000C3D4D"/>
    <w:rsid w:val="000D26FC"/>
    <w:rsid w:val="000D52A2"/>
    <w:rsid w:val="000E74DD"/>
    <w:rsid w:val="000E77C6"/>
    <w:rsid w:val="000F0751"/>
    <w:rsid w:val="000F5339"/>
    <w:rsid w:val="0010096E"/>
    <w:rsid w:val="00105E6D"/>
    <w:rsid w:val="001071FF"/>
    <w:rsid w:val="0012399B"/>
    <w:rsid w:val="00135C92"/>
    <w:rsid w:val="00136437"/>
    <w:rsid w:val="001366AA"/>
    <w:rsid w:val="001372BA"/>
    <w:rsid w:val="00161F18"/>
    <w:rsid w:val="00165C75"/>
    <w:rsid w:val="00170CC7"/>
    <w:rsid w:val="00176686"/>
    <w:rsid w:val="00177F73"/>
    <w:rsid w:val="0018763D"/>
    <w:rsid w:val="00194B7A"/>
    <w:rsid w:val="001A20D2"/>
    <w:rsid w:val="001C0B5D"/>
    <w:rsid w:val="001C7B1E"/>
    <w:rsid w:val="001D37CB"/>
    <w:rsid w:val="001D3EA5"/>
    <w:rsid w:val="001E5CB5"/>
    <w:rsid w:val="001E6BFE"/>
    <w:rsid w:val="001F4CA8"/>
    <w:rsid w:val="00202E5E"/>
    <w:rsid w:val="0020630D"/>
    <w:rsid w:val="00210F17"/>
    <w:rsid w:val="00211462"/>
    <w:rsid w:val="0021411E"/>
    <w:rsid w:val="002159A7"/>
    <w:rsid w:val="00225057"/>
    <w:rsid w:val="00233792"/>
    <w:rsid w:val="0023592D"/>
    <w:rsid w:val="00253F82"/>
    <w:rsid w:val="0026127B"/>
    <w:rsid w:val="00261340"/>
    <w:rsid w:val="00263880"/>
    <w:rsid w:val="00265918"/>
    <w:rsid w:val="00274850"/>
    <w:rsid w:val="0027798D"/>
    <w:rsid w:val="00277A10"/>
    <w:rsid w:val="00282E4A"/>
    <w:rsid w:val="00290623"/>
    <w:rsid w:val="00297E29"/>
    <w:rsid w:val="002A5D5B"/>
    <w:rsid w:val="002B230A"/>
    <w:rsid w:val="002B7AC8"/>
    <w:rsid w:val="002C1565"/>
    <w:rsid w:val="002C2AD6"/>
    <w:rsid w:val="002C3BE5"/>
    <w:rsid w:val="002C7212"/>
    <w:rsid w:val="002D0CB0"/>
    <w:rsid w:val="002D0DF3"/>
    <w:rsid w:val="002E1D87"/>
    <w:rsid w:val="002E77B7"/>
    <w:rsid w:val="002F6DED"/>
    <w:rsid w:val="00306F8F"/>
    <w:rsid w:val="00314F04"/>
    <w:rsid w:val="00316D3F"/>
    <w:rsid w:val="00317233"/>
    <w:rsid w:val="00325ED9"/>
    <w:rsid w:val="0033140E"/>
    <w:rsid w:val="0033FF15"/>
    <w:rsid w:val="003401BB"/>
    <w:rsid w:val="00344388"/>
    <w:rsid w:val="00347ED8"/>
    <w:rsid w:val="00360EC6"/>
    <w:rsid w:val="00366CF6"/>
    <w:rsid w:val="00372925"/>
    <w:rsid w:val="00374A02"/>
    <w:rsid w:val="0038072F"/>
    <w:rsid w:val="00383DA9"/>
    <w:rsid w:val="00396B40"/>
    <w:rsid w:val="003A4244"/>
    <w:rsid w:val="003B0246"/>
    <w:rsid w:val="003B1493"/>
    <w:rsid w:val="003B3EDD"/>
    <w:rsid w:val="003B488D"/>
    <w:rsid w:val="003B7172"/>
    <w:rsid w:val="003C02CA"/>
    <w:rsid w:val="003C30CC"/>
    <w:rsid w:val="003C3E17"/>
    <w:rsid w:val="003C6060"/>
    <w:rsid w:val="003D1F26"/>
    <w:rsid w:val="003E3987"/>
    <w:rsid w:val="003E3DC2"/>
    <w:rsid w:val="003E5727"/>
    <w:rsid w:val="003E6B07"/>
    <w:rsid w:val="003F2D40"/>
    <w:rsid w:val="003F555F"/>
    <w:rsid w:val="003F74E6"/>
    <w:rsid w:val="00401ABB"/>
    <w:rsid w:val="004024A6"/>
    <w:rsid w:val="00403DE2"/>
    <w:rsid w:val="0040493A"/>
    <w:rsid w:val="004128C5"/>
    <w:rsid w:val="0041342B"/>
    <w:rsid w:val="004140DD"/>
    <w:rsid w:val="00414EEA"/>
    <w:rsid w:val="004150C0"/>
    <w:rsid w:val="00416336"/>
    <w:rsid w:val="00416389"/>
    <w:rsid w:val="0041662D"/>
    <w:rsid w:val="004174E8"/>
    <w:rsid w:val="0042005C"/>
    <w:rsid w:val="00421226"/>
    <w:rsid w:val="00421603"/>
    <w:rsid w:val="00432C7B"/>
    <w:rsid w:val="00436A9B"/>
    <w:rsid w:val="00436BCB"/>
    <w:rsid w:val="00440E43"/>
    <w:rsid w:val="00450A63"/>
    <w:rsid w:val="00451C10"/>
    <w:rsid w:val="004524DE"/>
    <w:rsid w:val="004651D2"/>
    <w:rsid w:val="00465906"/>
    <w:rsid w:val="0046702C"/>
    <w:rsid w:val="00467EC9"/>
    <w:rsid w:val="00474C02"/>
    <w:rsid w:val="00485B69"/>
    <w:rsid w:val="00494C0D"/>
    <w:rsid w:val="004A09F4"/>
    <w:rsid w:val="004B06D6"/>
    <w:rsid w:val="004B2EB2"/>
    <w:rsid w:val="004D0B9A"/>
    <w:rsid w:val="004E0A71"/>
    <w:rsid w:val="004E23E5"/>
    <w:rsid w:val="004E65E9"/>
    <w:rsid w:val="004E7180"/>
    <w:rsid w:val="00505B27"/>
    <w:rsid w:val="00506A52"/>
    <w:rsid w:val="005074CF"/>
    <w:rsid w:val="00512C09"/>
    <w:rsid w:val="00530EE7"/>
    <w:rsid w:val="00547D8D"/>
    <w:rsid w:val="00556E67"/>
    <w:rsid w:val="0055777F"/>
    <w:rsid w:val="00561013"/>
    <w:rsid w:val="005646F4"/>
    <w:rsid w:val="00566160"/>
    <w:rsid w:val="00586592"/>
    <w:rsid w:val="0059000A"/>
    <w:rsid w:val="00595CF7"/>
    <w:rsid w:val="005A00E0"/>
    <w:rsid w:val="005A3C22"/>
    <w:rsid w:val="005A7E87"/>
    <w:rsid w:val="005B5E37"/>
    <w:rsid w:val="005C1884"/>
    <w:rsid w:val="005C35A4"/>
    <w:rsid w:val="005D1ED7"/>
    <w:rsid w:val="005E47AD"/>
    <w:rsid w:val="005E604A"/>
    <w:rsid w:val="005F48DA"/>
    <w:rsid w:val="005F4A9C"/>
    <w:rsid w:val="00602503"/>
    <w:rsid w:val="00604313"/>
    <w:rsid w:val="00606CBC"/>
    <w:rsid w:val="006100ED"/>
    <w:rsid w:val="00642B63"/>
    <w:rsid w:val="00643ACD"/>
    <w:rsid w:val="006526A7"/>
    <w:rsid w:val="00657BAA"/>
    <w:rsid w:val="00666C8A"/>
    <w:rsid w:val="0067186A"/>
    <w:rsid w:val="00671C94"/>
    <w:rsid w:val="0067306B"/>
    <w:rsid w:val="006775D4"/>
    <w:rsid w:val="00681551"/>
    <w:rsid w:val="006822DD"/>
    <w:rsid w:val="0069085C"/>
    <w:rsid w:val="0069179E"/>
    <w:rsid w:val="006A2270"/>
    <w:rsid w:val="006A4E4E"/>
    <w:rsid w:val="006A5EB9"/>
    <w:rsid w:val="006B21DC"/>
    <w:rsid w:val="006C6928"/>
    <w:rsid w:val="006D1117"/>
    <w:rsid w:val="006D4BE2"/>
    <w:rsid w:val="006E070E"/>
    <w:rsid w:val="006E7D0F"/>
    <w:rsid w:val="00702636"/>
    <w:rsid w:val="00713C9F"/>
    <w:rsid w:val="00715684"/>
    <w:rsid w:val="007174A0"/>
    <w:rsid w:val="0072127D"/>
    <w:rsid w:val="00721A86"/>
    <w:rsid w:val="00723BC8"/>
    <w:rsid w:val="00744158"/>
    <w:rsid w:val="007573AD"/>
    <w:rsid w:val="00766210"/>
    <w:rsid w:val="0077514E"/>
    <w:rsid w:val="00776B19"/>
    <w:rsid w:val="00782476"/>
    <w:rsid w:val="007934AF"/>
    <w:rsid w:val="007B14AC"/>
    <w:rsid w:val="007B74FC"/>
    <w:rsid w:val="007C2D55"/>
    <w:rsid w:val="007C3693"/>
    <w:rsid w:val="007C5281"/>
    <w:rsid w:val="007D11DC"/>
    <w:rsid w:val="007D4D29"/>
    <w:rsid w:val="007E16E5"/>
    <w:rsid w:val="007E2FF9"/>
    <w:rsid w:val="007E43E0"/>
    <w:rsid w:val="007E777D"/>
    <w:rsid w:val="007F38DE"/>
    <w:rsid w:val="008078DF"/>
    <w:rsid w:val="00810758"/>
    <w:rsid w:val="008379A5"/>
    <w:rsid w:val="008414A4"/>
    <w:rsid w:val="008438E6"/>
    <w:rsid w:val="00851936"/>
    <w:rsid w:val="008535B3"/>
    <w:rsid w:val="008546C6"/>
    <w:rsid w:val="00854B92"/>
    <w:rsid w:val="008566A6"/>
    <w:rsid w:val="00860B62"/>
    <w:rsid w:val="00871BB4"/>
    <w:rsid w:val="00872744"/>
    <w:rsid w:val="00876676"/>
    <w:rsid w:val="00884B6B"/>
    <w:rsid w:val="00895306"/>
    <w:rsid w:val="00897ED5"/>
    <w:rsid w:val="008A5238"/>
    <w:rsid w:val="008B3375"/>
    <w:rsid w:val="008B3B7E"/>
    <w:rsid w:val="008B3D71"/>
    <w:rsid w:val="008C1071"/>
    <w:rsid w:val="008C3D8B"/>
    <w:rsid w:val="008D27A6"/>
    <w:rsid w:val="008D6FD9"/>
    <w:rsid w:val="008E40A1"/>
    <w:rsid w:val="008F524E"/>
    <w:rsid w:val="00900C4E"/>
    <w:rsid w:val="009024E9"/>
    <w:rsid w:val="009043C3"/>
    <w:rsid w:val="00915068"/>
    <w:rsid w:val="00920B4E"/>
    <w:rsid w:val="00931AF6"/>
    <w:rsid w:val="00942171"/>
    <w:rsid w:val="00945C3A"/>
    <w:rsid w:val="00950EF6"/>
    <w:rsid w:val="0095536C"/>
    <w:rsid w:val="00956AAE"/>
    <w:rsid w:val="009609E2"/>
    <w:rsid w:val="00961642"/>
    <w:rsid w:val="0096257B"/>
    <w:rsid w:val="00970F97"/>
    <w:rsid w:val="00975D06"/>
    <w:rsid w:val="009848EF"/>
    <w:rsid w:val="0098625C"/>
    <w:rsid w:val="0099024B"/>
    <w:rsid w:val="00993476"/>
    <w:rsid w:val="00993A49"/>
    <w:rsid w:val="009A218D"/>
    <w:rsid w:val="009B1620"/>
    <w:rsid w:val="009B2A9D"/>
    <w:rsid w:val="009B3226"/>
    <w:rsid w:val="009B4EF2"/>
    <w:rsid w:val="009B74F8"/>
    <w:rsid w:val="009C2A51"/>
    <w:rsid w:val="009C72ED"/>
    <w:rsid w:val="009D1DD1"/>
    <w:rsid w:val="009D79E8"/>
    <w:rsid w:val="009F090E"/>
    <w:rsid w:val="009F46DB"/>
    <w:rsid w:val="009F5966"/>
    <w:rsid w:val="009F5F58"/>
    <w:rsid w:val="009F6988"/>
    <w:rsid w:val="00A00803"/>
    <w:rsid w:val="00A01F7C"/>
    <w:rsid w:val="00A074E9"/>
    <w:rsid w:val="00A12445"/>
    <w:rsid w:val="00A24DEE"/>
    <w:rsid w:val="00A2623C"/>
    <w:rsid w:val="00A300AF"/>
    <w:rsid w:val="00A31C48"/>
    <w:rsid w:val="00A43BDD"/>
    <w:rsid w:val="00A45D24"/>
    <w:rsid w:val="00A50AFB"/>
    <w:rsid w:val="00A543F7"/>
    <w:rsid w:val="00A56814"/>
    <w:rsid w:val="00A70CE0"/>
    <w:rsid w:val="00A7502D"/>
    <w:rsid w:val="00A76852"/>
    <w:rsid w:val="00A80B30"/>
    <w:rsid w:val="00A85435"/>
    <w:rsid w:val="00A85732"/>
    <w:rsid w:val="00A905D0"/>
    <w:rsid w:val="00A95898"/>
    <w:rsid w:val="00A97C4C"/>
    <w:rsid w:val="00AA5AB6"/>
    <w:rsid w:val="00AA762A"/>
    <w:rsid w:val="00AB3286"/>
    <w:rsid w:val="00AB5856"/>
    <w:rsid w:val="00AB59B6"/>
    <w:rsid w:val="00AD0DE2"/>
    <w:rsid w:val="00AE2D2C"/>
    <w:rsid w:val="00AE3375"/>
    <w:rsid w:val="00AE3547"/>
    <w:rsid w:val="00AE371E"/>
    <w:rsid w:val="00AE6E21"/>
    <w:rsid w:val="00AF40EF"/>
    <w:rsid w:val="00B03004"/>
    <w:rsid w:val="00B031AA"/>
    <w:rsid w:val="00B0644B"/>
    <w:rsid w:val="00B121CB"/>
    <w:rsid w:val="00B16C6E"/>
    <w:rsid w:val="00B217E1"/>
    <w:rsid w:val="00B31D09"/>
    <w:rsid w:val="00B36E26"/>
    <w:rsid w:val="00B42F31"/>
    <w:rsid w:val="00B43F95"/>
    <w:rsid w:val="00B441DA"/>
    <w:rsid w:val="00B52014"/>
    <w:rsid w:val="00B56C3C"/>
    <w:rsid w:val="00B60357"/>
    <w:rsid w:val="00B60A4B"/>
    <w:rsid w:val="00B66E73"/>
    <w:rsid w:val="00B76064"/>
    <w:rsid w:val="00B821ED"/>
    <w:rsid w:val="00B82F82"/>
    <w:rsid w:val="00B96899"/>
    <w:rsid w:val="00B96AC6"/>
    <w:rsid w:val="00B96FA0"/>
    <w:rsid w:val="00B9720F"/>
    <w:rsid w:val="00BA310B"/>
    <w:rsid w:val="00BC7D74"/>
    <w:rsid w:val="00BD195D"/>
    <w:rsid w:val="00BD2006"/>
    <w:rsid w:val="00BF093F"/>
    <w:rsid w:val="00BF5C2B"/>
    <w:rsid w:val="00BF6A5B"/>
    <w:rsid w:val="00C01D93"/>
    <w:rsid w:val="00C03281"/>
    <w:rsid w:val="00C07102"/>
    <w:rsid w:val="00C07231"/>
    <w:rsid w:val="00C1255A"/>
    <w:rsid w:val="00C1776C"/>
    <w:rsid w:val="00C34513"/>
    <w:rsid w:val="00C4081C"/>
    <w:rsid w:val="00C42E7E"/>
    <w:rsid w:val="00C43F51"/>
    <w:rsid w:val="00C52163"/>
    <w:rsid w:val="00C54471"/>
    <w:rsid w:val="00C57F15"/>
    <w:rsid w:val="00C62FC2"/>
    <w:rsid w:val="00C70BD6"/>
    <w:rsid w:val="00C714D8"/>
    <w:rsid w:val="00C7273B"/>
    <w:rsid w:val="00C72AEC"/>
    <w:rsid w:val="00C76AFF"/>
    <w:rsid w:val="00C90711"/>
    <w:rsid w:val="00C91E4C"/>
    <w:rsid w:val="00C92092"/>
    <w:rsid w:val="00C9409C"/>
    <w:rsid w:val="00C943DA"/>
    <w:rsid w:val="00C95811"/>
    <w:rsid w:val="00CA6DA8"/>
    <w:rsid w:val="00CC0187"/>
    <w:rsid w:val="00CC3513"/>
    <w:rsid w:val="00CC368F"/>
    <w:rsid w:val="00CD2F0D"/>
    <w:rsid w:val="00CD5603"/>
    <w:rsid w:val="00CE0AB2"/>
    <w:rsid w:val="00CE3DA9"/>
    <w:rsid w:val="00CE57D7"/>
    <w:rsid w:val="00CE7F25"/>
    <w:rsid w:val="00CF6D6E"/>
    <w:rsid w:val="00D038C2"/>
    <w:rsid w:val="00D06EAA"/>
    <w:rsid w:val="00D07A72"/>
    <w:rsid w:val="00D1059C"/>
    <w:rsid w:val="00D13B37"/>
    <w:rsid w:val="00D22050"/>
    <w:rsid w:val="00D26048"/>
    <w:rsid w:val="00D26242"/>
    <w:rsid w:val="00D31B75"/>
    <w:rsid w:val="00D33260"/>
    <w:rsid w:val="00D37317"/>
    <w:rsid w:val="00D55A17"/>
    <w:rsid w:val="00D70D35"/>
    <w:rsid w:val="00D72A99"/>
    <w:rsid w:val="00D74F7D"/>
    <w:rsid w:val="00D75900"/>
    <w:rsid w:val="00D75B7B"/>
    <w:rsid w:val="00D94F93"/>
    <w:rsid w:val="00D96BEF"/>
    <w:rsid w:val="00DA1444"/>
    <w:rsid w:val="00DA5716"/>
    <w:rsid w:val="00DA7034"/>
    <w:rsid w:val="00DC34A0"/>
    <w:rsid w:val="00DC4A06"/>
    <w:rsid w:val="00DD1C34"/>
    <w:rsid w:val="00DD24E0"/>
    <w:rsid w:val="00DF7A1F"/>
    <w:rsid w:val="00E01731"/>
    <w:rsid w:val="00E0258D"/>
    <w:rsid w:val="00E05C82"/>
    <w:rsid w:val="00E11BC9"/>
    <w:rsid w:val="00E2397A"/>
    <w:rsid w:val="00E27A4C"/>
    <w:rsid w:val="00E40C60"/>
    <w:rsid w:val="00E43C78"/>
    <w:rsid w:val="00E50360"/>
    <w:rsid w:val="00E5165C"/>
    <w:rsid w:val="00E65106"/>
    <w:rsid w:val="00E81934"/>
    <w:rsid w:val="00E908BE"/>
    <w:rsid w:val="00E92460"/>
    <w:rsid w:val="00E955FF"/>
    <w:rsid w:val="00EA1EC2"/>
    <w:rsid w:val="00EB20E8"/>
    <w:rsid w:val="00EC26CF"/>
    <w:rsid w:val="00EC36C4"/>
    <w:rsid w:val="00EC3DA6"/>
    <w:rsid w:val="00EC4366"/>
    <w:rsid w:val="00ED1D4E"/>
    <w:rsid w:val="00EE2DB6"/>
    <w:rsid w:val="00EF68C6"/>
    <w:rsid w:val="00EF75EA"/>
    <w:rsid w:val="00F046AC"/>
    <w:rsid w:val="00F0782E"/>
    <w:rsid w:val="00F10C5F"/>
    <w:rsid w:val="00F13DD1"/>
    <w:rsid w:val="00F17EA3"/>
    <w:rsid w:val="00F25C2B"/>
    <w:rsid w:val="00F30DD3"/>
    <w:rsid w:val="00F3311D"/>
    <w:rsid w:val="00F44082"/>
    <w:rsid w:val="00F51696"/>
    <w:rsid w:val="00F54650"/>
    <w:rsid w:val="00F560D0"/>
    <w:rsid w:val="00F6276F"/>
    <w:rsid w:val="00F66A35"/>
    <w:rsid w:val="00F70190"/>
    <w:rsid w:val="00F753B8"/>
    <w:rsid w:val="00F84BE2"/>
    <w:rsid w:val="00FA299F"/>
    <w:rsid w:val="00FA73FD"/>
    <w:rsid w:val="00FB08C8"/>
    <w:rsid w:val="00FB4343"/>
    <w:rsid w:val="00FC477A"/>
    <w:rsid w:val="00FC64D7"/>
    <w:rsid w:val="00FD07F9"/>
    <w:rsid w:val="00FE292D"/>
    <w:rsid w:val="059A4B02"/>
    <w:rsid w:val="09502A2F"/>
    <w:rsid w:val="0BB779A9"/>
    <w:rsid w:val="0BE2A6AF"/>
    <w:rsid w:val="0D12D4F4"/>
    <w:rsid w:val="0D9EA5A2"/>
    <w:rsid w:val="11CA8E70"/>
    <w:rsid w:val="12B5DEC4"/>
    <w:rsid w:val="14060A7B"/>
    <w:rsid w:val="141002D6"/>
    <w:rsid w:val="16A8298C"/>
    <w:rsid w:val="194D259C"/>
    <w:rsid w:val="1B4B5E9D"/>
    <w:rsid w:val="1CA9F91E"/>
    <w:rsid w:val="1F43824A"/>
    <w:rsid w:val="1F5B48DF"/>
    <w:rsid w:val="1FE30474"/>
    <w:rsid w:val="20A3F2A7"/>
    <w:rsid w:val="23A65C41"/>
    <w:rsid w:val="25227CF5"/>
    <w:rsid w:val="254D8239"/>
    <w:rsid w:val="2633962A"/>
    <w:rsid w:val="26BE4D56"/>
    <w:rsid w:val="2830F50C"/>
    <w:rsid w:val="2840F55A"/>
    <w:rsid w:val="29DCC5BB"/>
    <w:rsid w:val="2A2B9ACD"/>
    <w:rsid w:val="2DA08A02"/>
    <w:rsid w:val="2ED3FB9D"/>
    <w:rsid w:val="3449E1A8"/>
    <w:rsid w:val="351CB6D6"/>
    <w:rsid w:val="36309197"/>
    <w:rsid w:val="385F06AA"/>
    <w:rsid w:val="39B35CC2"/>
    <w:rsid w:val="3B2144D7"/>
    <w:rsid w:val="3BFCF93D"/>
    <w:rsid w:val="3C1CE5F2"/>
    <w:rsid w:val="3DC4B2C6"/>
    <w:rsid w:val="3E2779B4"/>
    <w:rsid w:val="42878E7F"/>
    <w:rsid w:val="43A1B951"/>
    <w:rsid w:val="4AE55DCF"/>
    <w:rsid w:val="4BACCB36"/>
    <w:rsid w:val="4BF4C11A"/>
    <w:rsid w:val="4C7CB6BA"/>
    <w:rsid w:val="4E5C7A30"/>
    <w:rsid w:val="4F9F73E4"/>
    <w:rsid w:val="4FA3FAC6"/>
    <w:rsid w:val="506E2806"/>
    <w:rsid w:val="50D76985"/>
    <w:rsid w:val="51CD8078"/>
    <w:rsid w:val="534786D9"/>
    <w:rsid w:val="53D08B27"/>
    <w:rsid w:val="54ADC4E4"/>
    <w:rsid w:val="56A4CFF8"/>
    <w:rsid w:val="57F2FDC4"/>
    <w:rsid w:val="5B972DF3"/>
    <w:rsid w:val="5BC5760D"/>
    <w:rsid w:val="5CB9FE18"/>
    <w:rsid w:val="5DAEA2CB"/>
    <w:rsid w:val="630CCB1A"/>
    <w:rsid w:val="65B9B4B0"/>
    <w:rsid w:val="67197AC8"/>
    <w:rsid w:val="68D3FF30"/>
    <w:rsid w:val="6A1215E7"/>
    <w:rsid w:val="6AFBF316"/>
    <w:rsid w:val="6BEE7D81"/>
    <w:rsid w:val="6D80112C"/>
    <w:rsid w:val="6DDF277F"/>
    <w:rsid w:val="716B349A"/>
    <w:rsid w:val="7194F2D2"/>
    <w:rsid w:val="7345AFE5"/>
    <w:rsid w:val="73899938"/>
    <w:rsid w:val="756AB610"/>
    <w:rsid w:val="75994621"/>
    <w:rsid w:val="775DBE92"/>
    <w:rsid w:val="79880302"/>
    <w:rsid w:val="7A30293A"/>
    <w:rsid w:val="7A6CCAFE"/>
    <w:rsid w:val="7BCCC0E6"/>
    <w:rsid w:val="7C1088E5"/>
    <w:rsid w:val="7E56AC81"/>
    <w:rsid w:val="7F6F600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BBF38"/>
  <w15:chartTrackingRefBased/>
  <w15:docId w15:val="{5D812134-298E-4E3C-9139-99398910F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555D"/>
    <w:rPr>
      <w:rFonts w:ascii="Arial" w:hAnsi="Arial"/>
    </w:rPr>
  </w:style>
  <w:style w:type="paragraph" w:styleId="Heading1">
    <w:name w:val="heading 1"/>
    <w:basedOn w:val="Normal"/>
    <w:next w:val="Normal"/>
    <w:link w:val="Heading1Char"/>
    <w:uiPriority w:val="9"/>
    <w:rsid w:val="00B0644B"/>
    <w:pPr>
      <w:keepNext/>
      <w:keepLines/>
      <w:spacing w:before="240"/>
      <w:outlineLvl w:val="0"/>
    </w:pPr>
    <w:rPr>
      <w:rFonts w:eastAsiaTheme="majorEastAsia" w:cstheme="majorBidi"/>
      <w:color w:val="A31457"/>
      <w:sz w:val="32"/>
      <w:szCs w:val="32"/>
    </w:rPr>
  </w:style>
  <w:style w:type="paragraph" w:styleId="Heading2">
    <w:name w:val="heading 2"/>
    <w:basedOn w:val="Normal"/>
    <w:next w:val="Normal"/>
    <w:link w:val="Heading2Char"/>
    <w:uiPriority w:val="9"/>
    <w:semiHidden/>
    <w:unhideWhenUsed/>
    <w:rsid w:val="002F6DED"/>
    <w:pPr>
      <w:keepNext/>
      <w:keepLines/>
      <w:spacing w:before="40"/>
      <w:outlineLvl w:val="1"/>
    </w:pPr>
    <w:rPr>
      <w:rFonts w:eastAsiaTheme="majorEastAsia" w:cstheme="majorBidi"/>
      <w:color w:val="242E54"/>
      <w:sz w:val="26"/>
      <w:szCs w:val="26"/>
    </w:rPr>
  </w:style>
  <w:style w:type="paragraph" w:styleId="Heading3">
    <w:name w:val="heading 3"/>
    <w:basedOn w:val="Normal"/>
    <w:next w:val="Normal"/>
    <w:link w:val="Heading3Char"/>
    <w:uiPriority w:val="9"/>
    <w:semiHidden/>
    <w:unhideWhenUsed/>
    <w:qFormat/>
    <w:rsid w:val="003C02C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MHeading2">
    <w:name w:val="EPM Heading 2"/>
    <w:qFormat/>
    <w:rsid w:val="00EC4366"/>
    <w:pPr>
      <w:spacing w:before="360" w:after="120" w:line="280" w:lineRule="exact"/>
    </w:pPr>
    <w:rPr>
      <w:rFonts w:ascii="Arial" w:hAnsi="Arial" w:cs="Arial"/>
      <w:b/>
      <w:bCs/>
      <w:sz w:val="28"/>
      <w:szCs w:val="28"/>
    </w:rPr>
  </w:style>
  <w:style w:type="paragraph" w:customStyle="1" w:styleId="EPMTextstyle">
    <w:name w:val="EPM Text style"/>
    <w:link w:val="EPMTextstyleChar"/>
    <w:qFormat/>
    <w:rsid w:val="000F5339"/>
    <w:pPr>
      <w:tabs>
        <w:tab w:val="left" w:pos="284"/>
        <w:tab w:val="left" w:pos="567"/>
        <w:tab w:val="left" w:pos="851"/>
        <w:tab w:val="left" w:pos="6804"/>
      </w:tabs>
      <w:spacing w:after="180" w:line="280" w:lineRule="exact"/>
    </w:pPr>
    <w:rPr>
      <w:rFonts w:ascii="Arial" w:hAnsi="Arial" w:cs="Arial"/>
      <w:sz w:val="21"/>
      <w:szCs w:val="20"/>
    </w:rPr>
  </w:style>
  <w:style w:type="paragraph" w:customStyle="1" w:styleId="EPMPageHeading">
    <w:name w:val="EPM Page Heading"/>
    <w:qFormat/>
    <w:rsid w:val="00B56C3C"/>
    <w:pPr>
      <w:spacing w:after="240" w:line="320" w:lineRule="exact"/>
    </w:pPr>
    <w:rPr>
      <w:rFonts w:ascii="Arial" w:hAnsi="Arial" w:cs="Arial"/>
      <w:b/>
      <w:sz w:val="32"/>
    </w:rPr>
  </w:style>
  <w:style w:type="paragraph" w:customStyle="1" w:styleId="EPMPageTitle">
    <w:name w:val="EPM Page Title"/>
    <w:rsid w:val="0004555D"/>
    <w:pPr>
      <w:spacing w:line="720" w:lineRule="exact"/>
    </w:pPr>
    <w:rPr>
      <w:rFonts w:ascii="Arial" w:hAnsi="Arial" w:cs="Calibri"/>
      <w:sz w:val="72"/>
      <w:szCs w:val="72"/>
    </w:rPr>
  </w:style>
  <w:style w:type="paragraph" w:customStyle="1" w:styleId="EPMNumberedcopy">
    <w:name w:val="EPM Numbered copy"/>
    <w:basedOn w:val="EPMTextstyle"/>
    <w:rsid w:val="00956AAE"/>
    <w:pPr>
      <w:numPr>
        <w:numId w:val="9"/>
      </w:numPr>
      <w:spacing w:before="120" w:after="120"/>
      <w:ind w:left="357" w:hanging="357"/>
    </w:pPr>
    <w:rPr>
      <w:rFonts w:cs="Tahoma"/>
    </w:rPr>
  </w:style>
  <w:style w:type="paragraph" w:customStyle="1" w:styleId="EPMBullets">
    <w:name w:val="EPM Bullets"/>
    <w:basedOn w:val="EPMTextstyle"/>
    <w:qFormat/>
    <w:rsid w:val="00956AAE"/>
    <w:pPr>
      <w:numPr>
        <w:numId w:val="10"/>
      </w:numPr>
      <w:spacing w:before="120" w:after="120"/>
      <w:ind w:hanging="720"/>
    </w:pPr>
  </w:style>
  <w:style w:type="character" w:styleId="Hyperlink">
    <w:name w:val="Hyperlink"/>
    <w:aliases w:val="EPM Hyperlink"/>
    <w:basedOn w:val="DefaultParagraphFont"/>
    <w:uiPriority w:val="99"/>
    <w:unhideWhenUsed/>
    <w:rsid w:val="0004555D"/>
    <w:rPr>
      <w:rFonts w:ascii="Arial" w:hAnsi="Arial"/>
      <w:b w:val="0"/>
      <w:i w:val="0"/>
      <w:color w:val="26529E"/>
      <w:u w:val="none"/>
    </w:rPr>
  </w:style>
  <w:style w:type="character" w:customStyle="1" w:styleId="UnresolvedMention1">
    <w:name w:val="Unresolved Mention1"/>
    <w:basedOn w:val="DefaultParagraphFont"/>
    <w:uiPriority w:val="99"/>
    <w:semiHidden/>
    <w:unhideWhenUsed/>
    <w:rsid w:val="00F3311D"/>
    <w:rPr>
      <w:color w:val="605E5C"/>
      <w:shd w:val="clear" w:color="auto" w:fill="E1DFDD"/>
    </w:rPr>
  </w:style>
  <w:style w:type="paragraph" w:styleId="Header">
    <w:name w:val="header"/>
    <w:basedOn w:val="Normal"/>
    <w:link w:val="HeaderChar"/>
    <w:uiPriority w:val="99"/>
    <w:unhideWhenUsed/>
    <w:rsid w:val="00F13DD1"/>
    <w:pPr>
      <w:tabs>
        <w:tab w:val="center" w:pos="4513"/>
        <w:tab w:val="right" w:pos="9026"/>
      </w:tabs>
    </w:pPr>
  </w:style>
  <w:style w:type="numbering" w:customStyle="1" w:styleId="CurrentList1">
    <w:name w:val="Current List1"/>
    <w:uiPriority w:val="99"/>
    <w:rsid w:val="00681551"/>
    <w:pPr>
      <w:numPr>
        <w:numId w:val="11"/>
      </w:numPr>
    </w:pPr>
  </w:style>
  <w:style w:type="character" w:styleId="PageNumber">
    <w:name w:val="page number"/>
    <w:basedOn w:val="DefaultParagraphFont"/>
    <w:uiPriority w:val="99"/>
    <w:semiHidden/>
    <w:unhideWhenUsed/>
    <w:rsid w:val="00C91E4C"/>
  </w:style>
  <w:style w:type="table" w:styleId="TableGrid">
    <w:name w:val="Table Grid"/>
    <w:basedOn w:val="TableNormal"/>
    <w:uiPriority w:val="59"/>
    <w:rsid w:val="00D55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MSubheading">
    <w:name w:val="EPM Subheading"/>
    <w:link w:val="EPMSubheadingChar"/>
    <w:qFormat/>
    <w:rsid w:val="00D94F93"/>
    <w:pPr>
      <w:spacing w:before="360" w:after="120" w:line="280" w:lineRule="exact"/>
    </w:pPr>
    <w:rPr>
      <w:rFonts w:ascii="Arial" w:hAnsi="Arial" w:cs="Arial"/>
      <w:b/>
      <w:bCs/>
    </w:rPr>
  </w:style>
  <w:style w:type="character" w:customStyle="1" w:styleId="HeaderChar">
    <w:name w:val="Header Char"/>
    <w:basedOn w:val="DefaultParagraphFont"/>
    <w:link w:val="Header"/>
    <w:uiPriority w:val="99"/>
    <w:rsid w:val="00F13DD1"/>
  </w:style>
  <w:style w:type="table" w:customStyle="1" w:styleId="EPMTableStyle">
    <w:name w:val="EPM Table Style"/>
    <w:basedOn w:val="TableNormal"/>
    <w:uiPriority w:val="99"/>
    <w:rsid w:val="00440E43"/>
    <w:pPr>
      <w:spacing w:before="60" w:after="60"/>
    </w:pPr>
    <w:rPr>
      <w:rFonts w:ascii="Calibri" w:hAnsi="Calibri"/>
      <w:b/>
      <w:sz w:val="18"/>
    </w:rPr>
    <w:tblPr>
      <w:tblStyleRowBandSize w:val="1"/>
      <w:tblBorders>
        <w:bottom w:val="single" w:sz="18" w:space="0" w:color="242E55"/>
        <w:insideH w:val="single" w:sz="4" w:space="0" w:color="242E55"/>
        <w:insideV w:val="single" w:sz="4" w:space="0" w:color="242E55"/>
      </w:tblBorders>
    </w:tblPr>
    <w:tcPr>
      <w:shd w:val="clear" w:color="auto" w:fill="auto"/>
      <w:tcMar>
        <w:top w:w="57" w:type="dxa"/>
        <w:bottom w:w="57" w:type="dxa"/>
      </w:tcMar>
    </w:tcPr>
    <w:tblStylePr w:type="firstRow">
      <w:rPr>
        <w:rFonts w:ascii="Avenir Next LT Pro Demi" w:hAnsi="Avenir Next LT Pro Demi"/>
        <w:b/>
        <w:i w:val="0"/>
        <w:color w:val="FFFFFF" w:themeColor="background1"/>
        <w:sz w:val="16"/>
      </w:rPr>
      <w:tblPr/>
      <w:tcPr>
        <w:tcBorders>
          <w:top w:val="nil"/>
          <w:left w:val="nil"/>
          <w:bottom w:val="nil"/>
          <w:right w:val="nil"/>
          <w:insideH w:val="nil"/>
          <w:insideV w:val="single" w:sz="4" w:space="0" w:color="FFFFFF" w:themeColor="background1"/>
          <w:tl2br w:val="nil"/>
          <w:tr2bl w:val="nil"/>
        </w:tcBorders>
        <w:shd w:val="clear" w:color="auto" w:fill="242E55"/>
      </w:tcPr>
    </w:tblStylePr>
    <w:tblStylePr w:type="band2Horz">
      <w:tblPr/>
      <w:tcPr>
        <w:shd w:val="clear" w:color="auto" w:fill="D9E2F3" w:themeFill="accent1" w:themeFillTint="33"/>
      </w:tcPr>
    </w:tblStylePr>
  </w:style>
  <w:style w:type="paragraph" w:styleId="Footer">
    <w:name w:val="footer"/>
    <w:basedOn w:val="Normal"/>
    <w:link w:val="FooterChar"/>
    <w:uiPriority w:val="99"/>
    <w:unhideWhenUsed/>
    <w:rsid w:val="00F13DD1"/>
    <w:pPr>
      <w:tabs>
        <w:tab w:val="center" w:pos="4513"/>
        <w:tab w:val="right" w:pos="9026"/>
      </w:tabs>
    </w:pPr>
  </w:style>
  <w:style w:type="character" w:customStyle="1" w:styleId="FooterChar">
    <w:name w:val="Footer Char"/>
    <w:basedOn w:val="DefaultParagraphFont"/>
    <w:link w:val="Footer"/>
    <w:uiPriority w:val="99"/>
    <w:rsid w:val="00F13DD1"/>
  </w:style>
  <w:style w:type="character" w:customStyle="1" w:styleId="Heading1Char">
    <w:name w:val="Heading 1 Char"/>
    <w:basedOn w:val="DefaultParagraphFont"/>
    <w:link w:val="Heading1"/>
    <w:uiPriority w:val="9"/>
    <w:rsid w:val="00B0644B"/>
    <w:rPr>
      <w:rFonts w:ascii="Tahoma" w:eastAsiaTheme="majorEastAsia" w:hAnsi="Tahoma" w:cstheme="majorBidi"/>
      <w:color w:val="A31457"/>
      <w:sz w:val="32"/>
      <w:szCs w:val="32"/>
    </w:rPr>
  </w:style>
  <w:style w:type="character" w:customStyle="1" w:styleId="Heading2Char">
    <w:name w:val="Heading 2 Char"/>
    <w:basedOn w:val="DefaultParagraphFont"/>
    <w:link w:val="Heading2"/>
    <w:uiPriority w:val="9"/>
    <w:rsid w:val="002F6DED"/>
    <w:rPr>
      <w:rFonts w:ascii="Tahoma" w:eastAsiaTheme="majorEastAsia" w:hAnsi="Tahoma" w:cstheme="majorBidi"/>
      <w:color w:val="242E54"/>
      <w:sz w:val="26"/>
      <w:szCs w:val="26"/>
    </w:rPr>
  </w:style>
  <w:style w:type="paragraph" w:customStyle="1" w:styleId="Standardpolicywording">
    <w:name w:val="Standard policy wording"/>
    <w:basedOn w:val="Normal"/>
    <w:link w:val="StandardpolicywordingChar"/>
    <w:rsid w:val="0004555D"/>
    <w:pPr>
      <w:spacing w:after="200" w:line="276" w:lineRule="auto"/>
    </w:pPr>
    <w:rPr>
      <w:rFonts w:cstheme="minorHAnsi"/>
      <w:color w:val="FFFFFF" w:themeColor="background1"/>
      <w:sz w:val="21"/>
      <w:szCs w:val="21"/>
    </w:rPr>
  </w:style>
  <w:style w:type="character" w:customStyle="1" w:styleId="StandardpolicywordingChar">
    <w:name w:val="Standard policy wording Char"/>
    <w:basedOn w:val="DefaultParagraphFont"/>
    <w:link w:val="Standardpolicywording"/>
    <w:rsid w:val="0004555D"/>
    <w:rPr>
      <w:rFonts w:ascii="Arial" w:hAnsi="Arial" w:cstheme="minorHAnsi"/>
      <w:color w:val="FFFFFF" w:themeColor="background1"/>
      <w:sz w:val="21"/>
      <w:szCs w:val="21"/>
    </w:rPr>
  </w:style>
  <w:style w:type="character" w:styleId="CommentReference">
    <w:name w:val="annotation reference"/>
    <w:basedOn w:val="DefaultParagraphFont"/>
    <w:uiPriority w:val="99"/>
    <w:semiHidden/>
    <w:unhideWhenUsed/>
    <w:rsid w:val="00F84BE2"/>
    <w:rPr>
      <w:sz w:val="16"/>
      <w:szCs w:val="16"/>
    </w:rPr>
  </w:style>
  <w:style w:type="paragraph" w:styleId="CommentText">
    <w:name w:val="annotation text"/>
    <w:basedOn w:val="Normal"/>
    <w:link w:val="CommentTextChar"/>
    <w:uiPriority w:val="99"/>
    <w:unhideWhenUsed/>
    <w:rsid w:val="00F84BE2"/>
    <w:rPr>
      <w:sz w:val="20"/>
      <w:szCs w:val="20"/>
    </w:rPr>
  </w:style>
  <w:style w:type="character" w:customStyle="1" w:styleId="CommentTextChar">
    <w:name w:val="Comment Text Char"/>
    <w:basedOn w:val="DefaultParagraphFont"/>
    <w:link w:val="CommentText"/>
    <w:uiPriority w:val="99"/>
    <w:rsid w:val="00F84BE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F84BE2"/>
    <w:rPr>
      <w:b/>
      <w:bCs/>
    </w:rPr>
  </w:style>
  <w:style w:type="character" w:customStyle="1" w:styleId="CommentSubjectChar">
    <w:name w:val="Comment Subject Char"/>
    <w:basedOn w:val="CommentTextChar"/>
    <w:link w:val="CommentSubject"/>
    <w:uiPriority w:val="99"/>
    <w:semiHidden/>
    <w:rsid w:val="00F84BE2"/>
    <w:rPr>
      <w:rFonts w:ascii="Tahoma" w:hAnsi="Tahoma"/>
      <w:b/>
      <w:bCs/>
      <w:sz w:val="20"/>
      <w:szCs w:val="20"/>
    </w:rPr>
  </w:style>
  <w:style w:type="paragraph" w:customStyle="1" w:styleId="EPMNumberedsubheading">
    <w:name w:val="EPM Numbered sub heading"/>
    <w:basedOn w:val="EPMSubheading"/>
    <w:qFormat/>
    <w:rsid w:val="0004555D"/>
    <w:pPr>
      <w:ind w:left="360" w:hanging="360"/>
    </w:pPr>
    <w:rPr>
      <w:color w:val="A31457"/>
    </w:rPr>
  </w:style>
  <w:style w:type="paragraph" w:customStyle="1" w:styleId="EPMNumberedHeading">
    <w:name w:val="EPM Numbered Heading"/>
    <w:basedOn w:val="EPMSubheading"/>
    <w:qFormat/>
    <w:rsid w:val="00EC4366"/>
    <w:pPr>
      <w:numPr>
        <w:numId w:val="12"/>
      </w:numPr>
      <w:ind w:left="709" w:hanging="709"/>
    </w:pPr>
    <w:rPr>
      <w:sz w:val="28"/>
      <w:szCs w:val="28"/>
    </w:rPr>
  </w:style>
  <w:style w:type="paragraph" w:customStyle="1" w:styleId="EPMSubheading2">
    <w:name w:val="EPM Subheading 2"/>
    <w:basedOn w:val="EPMSubheading"/>
    <w:rsid w:val="00956AAE"/>
    <w:rPr>
      <w:sz w:val="22"/>
      <w:szCs w:val="22"/>
    </w:rPr>
  </w:style>
  <w:style w:type="paragraph" w:customStyle="1" w:styleId="EPMBracket">
    <w:name w:val="EPM Bracket"/>
    <w:basedOn w:val="EPMTextstyle"/>
    <w:link w:val="EPMBracketChar"/>
    <w:qFormat/>
    <w:rsid w:val="00556E67"/>
    <w:rPr>
      <w:color w:val="A31457"/>
    </w:rPr>
  </w:style>
  <w:style w:type="paragraph" w:customStyle="1" w:styleId="EPMFormText">
    <w:name w:val="EPM Form Text"/>
    <w:basedOn w:val="EPMTextstyle"/>
    <w:link w:val="EPMFormTextChar"/>
    <w:qFormat/>
    <w:rsid w:val="00876676"/>
    <w:pPr>
      <w:spacing w:before="60" w:after="60"/>
    </w:pPr>
    <w:rPr>
      <w:b/>
      <w:bCs/>
    </w:rPr>
  </w:style>
  <w:style w:type="character" w:customStyle="1" w:styleId="EPMTextstyleChar">
    <w:name w:val="EPM Text style Char"/>
    <w:basedOn w:val="DefaultParagraphFont"/>
    <w:link w:val="EPMTextstyle"/>
    <w:rsid w:val="000F5339"/>
    <w:rPr>
      <w:rFonts w:ascii="Arial" w:hAnsi="Arial" w:cs="Arial"/>
      <w:sz w:val="21"/>
      <w:szCs w:val="20"/>
    </w:rPr>
  </w:style>
  <w:style w:type="character" w:customStyle="1" w:styleId="EPMBracketChar">
    <w:name w:val="EPM Bracket Char"/>
    <w:basedOn w:val="EPMTextstyleChar"/>
    <w:link w:val="EPMBracket"/>
    <w:rsid w:val="00556E67"/>
    <w:rPr>
      <w:rFonts w:ascii="Arial" w:hAnsi="Arial" w:cs="Arial"/>
      <w:color w:val="A31457"/>
      <w:sz w:val="21"/>
      <w:szCs w:val="20"/>
    </w:rPr>
  </w:style>
  <w:style w:type="paragraph" w:customStyle="1" w:styleId="EPMNumberedSubheading0">
    <w:name w:val="EPM Numbered Subheading"/>
    <w:basedOn w:val="EPMSubheading"/>
    <w:link w:val="EPMNumberedSubheadingChar"/>
    <w:rsid w:val="00956AAE"/>
    <w:pPr>
      <w:ind w:left="1418" w:hanging="709"/>
    </w:pPr>
  </w:style>
  <w:style w:type="character" w:customStyle="1" w:styleId="EPMFormTextChar">
    <w:name w:val="EPM Form Text Char"/>
    <w:basedOn w:val="EPMTextstyleChar"/>
    <w:link w:val="EPMFormText"/>
    <w:rsid w:val="00876676"/>
    <w:rPr>
      <w:rFonts w:ascii="Arial" w:hAnsi="Arial" w:cs="Arial"/>
      <w:b/>
      <w:bCs/>
      <w:sz w:val="21"/>
      <w:szCs w:val="20"/>
    </w:rPr>
  </w:style>
  <w:style w:type="paragraph" w:customStyle="1" w:styleId="EPMNumberedsubheading2">
    <w:name w:val="EPM Numbered subheading 2"/>
    <w:basedOn w:val="EPMSubheading"/>
    <w:link w:val="EPMNumberedsubheading2Char"/>
    <w:rsid w:val="00956AAE"/>
    <w:pPr>
      <w:ind w:left="1843" w:hanging="425"/>
    </w:pPr>
    <w:rPr>
      <w:sz w:val="22"/>
      <w:szCs w:val="22"/>
    </w:rPr>
  </w:style>
  <w:style w:type="character" w:customStyle="1" w:styleId="EPMSubheadingChar">
    <w:name w:val="EPM Subheading Char"/>
    <w:basedOn w:val="DefaultParagraphFont"/>
    <w:link w:val="EPMSubheading"/>
    <w:rsid w:val="00D94F93"/>
    <w:rPr>
      <w:rFonts w:ascii="Arial" w:hAnsi="Arial" w:cs="Arial"/>
      <w:b/>
      <w:bCs/>
    </w:rPr>
  </w:style>
  <w:style w:type="character" w:customStyle="1" w:styleId="EPMNumberedSubheadingChar">
    <w:name w:val="EPM Numbered Subheading Char"/>
    <w:basedOn w:val="EPMSubheadingChar"/>
    <w:link w:val="EPMNumberedSubheading0"/>
    <w:rsid w:val="00956AAE"/>
    <w:rPr>
      <w:rFonts w:ascii="Arial" w:hAnsi="Arial" w:cs="Arial"/>
      <w:b/>
      <w:bCs/>
    </w:rPr>
  </w:style>
  <w:style w:type="character" w:customStyle="1" w:styleId="EPMNumberedsubheading2Char">
    <w:name w:val="EPM Numbered subheading 2 Char"/>
    <w:basedOn w:val="EPMSubheadingChar"/>
    <w:link w:val="EPMNumberedsubheading2"/>
    <w:rsid w:val="00956AAE"/>
    <w:rPr>
      <w:rFonts w:ascii="Arial" w:hAnsi="Arial" w:cs="Arial"/>
      <w:b/>
      <w:bCs/>
      <w:sz w:val="22"/>
      <w:szCs w:val="22"/>
    </w:rPr>
  </w:style>
  <w:style w:type="paragraph" w:styleId="Title">
    <w:name w:val="Title"/>
    <w:basedOn w:val="Normal"/>
    <w:next w:val="Normal"/>
    <w:link w:val="TitleChar"/>
    <w:uiPriority w:val="10"/>
    <w:rsid w:val="00B56C3C"/>
    <w:pPr>
      <w:contextualSpacing/>
    </w:pPr>
    <w:rPr>
      <w:rFonts w:eastAsiaTheme="majorEastAsia" w:cs="Arial"/>
      <w:noProof/>
      <w:spacing w:val="-10"/>
      <w:kern w:val="28"/>
      <w:sz w:val="72"/>
      <w:szCs w:val="72"/>
    </w:rPr>
  </w:style>
  <w:style w:type="character" w:customStyle="1" w:styleId="TitleChar">
    <w:name w:val="Title Char"/>
    <w:basedOn w:val="DefaultParagraphFont"/>
    <w:link w:val="Title"/>
    <w:uiPriority w:val="10"/>
    <w:rsid w:val="00B56C3C"/>
    <w:rPr>
      <w:rFonts w:ascii="Arial" w:eastAsiaTheme="majorEastAsia" w:hAnsi="Arial" w:cs="Arial"/>
      <w:noProof/>
      <w:spacing w:val="-10"/>
      <w:kern w:val="28"/>
      <w:sz w:val="72"/>
      <w:szCs w:val="72"/>
    </w:rPr>
  </w:style>
  <w:style w:type="paragraph" w:customStyle="1" w:styleId="EPMHyperlinks">
    <w:name w:val="EPM Hyperlinks"/>
    <w:basedOn w:val="EPMTextstyle"/>
    <w:link w:val="EPMHyperlinksChar"/>
    <w:qFormat/>
    <w:rsid w:val="000168DE"/>
    <w:rPr>
      <w:color w:val="26529E"/>
    </w:rPr>
  </w:style>
  <w:style w:type="paragraph" w:customStyle="1" w:styleId="EPMTableHeading">
    <w:name w:val="EPM Table Heading"/>
    <w:basedOn w:val="Normal"/>
    <w:link w:val="EPMTableHeadingChar"/>
    <w:qFormat/>
    <w:rsid w:val="00D70D35"/>
    <w:pPr>
      <w:spacing w:before="60" w:after="60"/>
    </w:pPr>
    <w:rPr>
      <w:rFonts w:cs="Arial"/>
      <w:b/>
      <w:bCs/>
      <w:sz w:val="22"/>
      <w:szCs w:val="22"/>
    </w:rPr>
  </w:style>
  <w:style w:type="character" w:customStyle="1" w:styleId="EPMHyperlinksChar">
    <w:name w:val="EPM Hyperlinks Char"/>
    <w:basedOn w:val="EPMTextstyleChar"/>
    <w:link w:val="EPMHyperlinks"/>
    <w:rsid w:val="000168DE"/>
    <w:rPr>
      <w:rFonts w:ascii="Arial" w:hAnsi="Arial" w:cs="Arial"/>
      <w:color w:val="26529E"/>
      <w:sz w:val="21"/>
      <w:szCs w:val="20"/>
    </w:rPr>
  </w:style>
  <w:style w:type="paragraph" w:customStyle="1" w:styleId="EPMSchoolName">
    <w:name w:val="EPM [School Name]"/>
    <w:basedOn w:val="Title"/>
    <w:link w:val="EPMSchoolNameChar"/>
    <w:qFormat/>
    <w:rsid w:val="00B43F95"/>
    <w:rPr>
      <w:color w:val="A31457"/>
      <w:sz w:val="60"/>
      <w:szCs w:val="60"/>
    </w:rPr>
  </w:style>
  <w:style w:type="character" w:customStyle="1" w:styleId="EPMTableHeadingChar">
    <w:name w:val="EPM Table Heading Char"/>
    <w:basedOn w:val="DefaultParagraphFont"/>
    <w:link w:val="EPMTableHeading"/>
    <w:rsid w:val="00D70D35"/>
    <w:rPr>
      <w:rFonts w:ascii="Arial" w:hAnsi="Arial" w:cs="Arial"/>
      <w:b/>
      <w:bCs/>
      <w:sz w:val="22"/>
      <w:szCs w:val="22"/>
    </w:rPr>
  </w:style>
  <w:style w:type="character" w:customStyle="1" w:styleId="EPMSchoolNameChar">
    <w:name w:val="EPM [School Name] Char"/>
    <w:basedOn w:val="TitleChar"/>
    <w:link w:val="EPMSchoolName"/>
    <w:rsid w:val="00B43F95"/>
    <w:rPr>
      <w:rFonts w:ascii="Arial" w:eastAsiaTheme="majorEastAsia" w:hAnsi="Arial" w:cs="Arial"/>
      <w:noProof/>
      <w:color w:val="A31457"/>
      <w:spacing w:val="-10"/>
      <w:kern w:val="28"/>
      <w:sz w:val="60"/>
      <w:szCs w:val="60"/>
    </w:rPr>
  </w:style>
  <w:style w:type="paragraph" w:customStyle="1" w:styleId="EPMQuotes">
    <w:name w:val="EPM Quotes"/>
    <w:basedOn w:val="EPMTextstyle"/>
    <w:link w:val="EPMQuotesChar"/>
    <w:qFormat/>
    <w:rsid w:val="00956AAE"/>
    <w:rPr>
      <w:i/>
      <w:iCs/>
    </w:rPr>
  </w:style>
  <w:style w:type="paragraph" w:customStyle="1" w:styleId="EPMPolicyTitle">
    <w:name w:val="EPM Policy Title"/>
    <w:basedOn w:val="Title"/>
    <w:link w:val="EPMPolicyTitleChar"/>
    <w:qFormat/>
    <w:rsid w:val="00956AAE"/>
    <w:rPr>
      <w:b/>
      <w:bCs/>
    </w:rPr>
  </w:style>
  <w:style w:type="character" w:customStyle="1" w:styleId="EPMQuotesChar">
    <w:name w:val="EPM Quotes Char"/>
    <w:basedOn w:val="EPMTextstyleChar"/>
    <w:link w:val="EPMQuotes"/>
    <w:rsid w:val="00956AAE"/>
    <w:rPr>
      <w:rFonts w:ascii="Arial" w:hAnsi="Arial" w:cs="Arial"/>
      <w:i/>
      <w:iCs/>
      <w:sz w:val="21"/>
      <w:szCs w:val="20"/>
    </w:rPr>
  </w:style>
  <w:style w:type="character" w:customStyle="1" w:styleId="EPMPolicyTitleChar">
    <w:name w:val="EPM Policy Title Char"/>
    <w:basedOn w:val="TitleChar"/>
    <w:link w:val="EPMPolicyTitle"/>
    <w:rsid w:val="00956AAE"/>
    <w:rPr>
      <w:rFonts w:ascii="Arial" w:eastAsiaTheme="majorEastAsia" w:hAnsi="Arial" w:cs="Arial"/>
      <w:b/>
      <w:bCs/>
      <w:noProof/>
      <w:spacing w:val="-10"/>
      <w:kern w:val="28"/>
      <w:sz w:val="72"/>
      <w:szCs w:val="72"/>
    </w:rPr>
  </w:style>
  <w:style w:type="paragraph" w:styleId="NormalWeb">
    <w:name w:val="Normal (Web)"/>
    <w:basedOn w:val="Normal"/>
    <w:uiPriority w:val="99"/>
    <w:semiHidden/>
    <w:unhideWhenUsed/>
    <w:rsid w:val="002D0CB0"/>
    <w:pPr>
      <w:spacing w:before="100" w:beforeAutospacing="1" w:after="100" w:afterAutospacing="1"/>
    </w:pPr>
    <w:rPr>
      <w:rFonts w:ascii="Times New Roman" w:eastAsia="Times New Roman" w:hAnsi="Times New Roman" w:cs="Times New Roman"/>
      <w:lang w:eastAsia="en-GB"/>
    </w:rPr>
  </w:style>
  <w:style w:type="paragraph" w:customStyle="1" w:styleId="Numberedsubheading">
    <w:name w:val="Numbered subheading"/>
    <w:basedOn w:val="EPMSubheading"/>
    <w:next w:val="EPMTextindent2"/>
    <w:link w:val="NumberedsubheadingChar"/>
    <w:qFormat/>
    <w:rsid w:val="00D94F93"/>
    <w:pPr>
      <w:numPr>
        <w:ilvl w:val="1"/>
        <w:numId w:val="12"/>
      </w:numPr>
      <w:spacing w:before="240"/>
      <w:ind w:left="1418" w:hanging="709"/>
    </w:pPr>
    <w:rPr>
      <w:b w:val="0"/>
      <w:bCs w:val="0"/>
      <w:sz w:val="21"/>
      <w:szCs w:val="21"/>
    </w:rPr>
  </w:style>
  <w:style w:type="paragraph" w:customStyle="1" w:styleId="Numberedsubheading2">
    <w:name w:val="Numbered subheading 2"/>
    <w:basedOn w:val="EPMSubheading"/>
    <w:next w:val="EPMTextindent3"/>
    <w:link w:val="Numberedsubheading2Char"/>
    <w:qFormat/>
    <w:rsid w:val="007D11DC"/>
    <w:pPr>
      <w:numPr>
        <w:ilvl w:val="2"/>
        <w:numId w:val="12"/>
      </w:numPr>
      <w:ind w:left="1843" w:hanging="425"/>
    </w:pPr>
    <w:rPr>
      <w:rFonts w:ascii="Avenir Next LT Pro Demi" w:hAnsi="Avenir Next LT Pro Demi"/>
      <w:sz w:val="22"/>
      <w:szCs w:val="22"/>
    </w:rPr>
  </w:style>
  <w:style w:type="character" w:customStyle="1" w:styleId="NumberedsubheadingChar">
    <w:name w:val="Numbered subheading Char"/>
    <w:basedOn w:val="EPMSubheadingChar"/>
    <w:link w:val="Numberedsubheading"/>
    <w:rsid w:val="00D94F93"/>
    <w:rPr>
      <w:rFonts w:ascii="Arial" w:hAnsi="Arial" w:cs="Arial"/>
      <w:b w:val="0"/>
      <w:bCs w:val="0"/>
      <w:sz w:val="21"/>
      <w:szCs w:val="21"/>
    </w:rPr>
  </w:style>
  <w:style w:type="character" w:customStyle="1" w:styleId="Numberedsubheading2Char">
    <w:name w:val="Numbered subheading 2 Char"/>
    <w:basedOn w:val="EPMSubheadingChar"/>
    <w:link w:val="Numberedsubheading2"/>
    <w:rsid w:val="007D11DC"/>
    <w:rPr>
      <w:rFonts w:ascii="Avenir Next LT Pro Demi" w:hAnsi="Avenir Next LT Pro Demi" w:cs="Arial"/>
      <w:b/>
      <w:bCs/>
      <w:sz w:val="22"/>
      <w:szCs w:val="22"/>
    </w:rPr>
  </w:style>
  <w:style w:type="paragraph" w:customStyle="1" w:styleId="EPMTextindent1">
    <w:name w:val="EPM Text indent 1"/>
    <w:basedOn w:val="EPMTextstyle"/>
    <w:link w:val="EPMTextindent1Char"/>
    <w:qFormat/>
    <w:rsid w:val="00EF75EA"/>
    <w:pPr>
      <w:ind w:left="567"/>
    </w:pPr>
  </w:style>
  <w:style w:type="paragraph" w:customStyle="1" w:styleId="EPMTextindent2">
    <w:name w:val="EPM Text indent 2"/>
    <w:basedOn w:val="EPMTextindent1"/>
    <w:link w:val="EPMTextindent2Char"/>
    <w:rsid w:val="004024A6"/>
    <w:pPr>
      <w:ind w:left="1702" w:hanging="284"/>
    </w:pPr>
  </w:style>
  <w:style w:type="character" w:customStyle="1" w:styleId="EPMTextindent1Char">
    <w:name w:val="EPM Text indent 1 Char"/>
    <w:basedOn w:val="EPMTextstyleChar"/>
    <w:link w:val="EPMTextindent1"/>
    <w:rsid w:val="00EF75EA"/>
    <w:rPr>
      <w:rFonts w:ascii="Arial" w:hAnsi="Arial" w:cs="Arial"/>
      <w:sz w:val="21"/>
      <w:szCs w:val="20"/>
    </w:rPr>
  </w:style>
  <w:style w:type="paragraph" w:customStyle="1" w:styleId="EPMTextindent3">
    <w:name w:val="EPM Text indent 3"/>
    <w:basedOn w:val="EPMTextindent2"/>
    <w:link w:val="EPMTextindent3Char"/>
    <w:qFormat/>
    <w:rsid w:val="007D11DC"/>
    <w:pPr>
      <w:ind w:left="2126" w:firstLine="1"/>
    </w:pPr>
  </w:style>
  <w:style w:type="character" w:customStyle="1" w:styleId="EPMTextindent2Char">
    <w:name w:val="EPM Text indent 2 Char"/>
    <w:basedOn w:val="EPMTextindent1Char"/>
    <w:link w:val="EPMTextindent2"/>
    <w:rsid w:val="004024A6"/>
    <w:rPr>
      <w:rFonts w:ascii="Arial" w:hAnsi="Arial" w:cs="Arial"/>
      <w:sz w:val="21"/>
      <w:szCs w:val="20"/>
    </w:rPr>
  </w:style>
  <w:style w:type="character" w:customStyle="1" w:styleId="EPMTextindent3Char">
    <w:name w:val="EPM Text indent 3 Char"/>
    <w:basedOn w:val="EPMTextindent2Char"/>
    <w:link w:val="EPMTextindent3"/>
    <w:rsid w:val="007D11DC"/>
    <w:rPr>
      <w:rFonts w:ascii="Avenir Next LT Pro" w:hAnsi="Avenir Next LT Pro" w:cs="Arial"/>
      <w:sz w:val="21"/>
      <w:szCs w:val="20"/>
    </w:rPr>
  </w:style>
  <w:style w:type="paragraph" w:customStyle="1" w:styleId="Bracketsinsertwording">
    <w:name w:val="Brackets/insert wording"/>
    <w:basedOn w:val="Normal"/>
    <w:link w:val="BracketsinsertwordingChar"/>
    <w:qFormat/>
    <w:rsid w:val="0041662D"/>
    <w:pPr>
      <w:jc w:val="both"/>
    </w:pPr>
    <w:rPr>
      <w:rFonts w:asciiTheme="minorHAnsi" w:hAnsiTheme="minorHAnsi"/>
      <w:color w:val="1381BE"/>
      <w:lang w:eastAsia="en-GB"/>
    </w:rPr>
  </w:style>
  <w:style w:type="character" w:customStyle="1" w:styleId="BracketsinsertwordingChar">
    <w:name w:val="Brackets/insert wording Char"/>
    <w:basedOn w:val="DefaultParagraphFont"/>
    <w:link w:val="Bracketsinsertwording"/>
    <w:rsid w:val="0041662D"/>
    <w:rPr>
      <w:color w:val="1381BE"/>
      <w:lang w:eastAsia="en-GB"/>
    </w:rPr>
  </w:style>
  <w:style w:type="paragraph" w:customStyle="1" w:styleId="Bullets">
    <w:name w:val="Bullets"/>
    <w:basedOn w:val="ListParagraph"/>
    <w:link w:val="BulletsChar"/>
    <w:qFormat/>
    <w:rsid w:val="00416389"/>
    <w:pPr>
      <w:numPr>
        <w:numId w:val="20"/>
      </w:numPr>
      <w:spacing w:after="120"/>
      <w:contextualSpacing w:val="0"/>
      <w:jc w:val="both"/>
    </w:pPr>
    <w:rPr>
      <w:rFonts w:ascii="Calibri" w:hAnsi="Calibri"/>
      <w:lang w:eastAsia="en-GB"/>
    </w:rPr>
  </w:style>
  <w:style w:type="character" w:customStyle="1" w:styleId="BulletsChar">
    <w:name w:val="Bullets Char"/>
    <w:basedOn w:val="DefaultParagraphFont"/>
    <w:link w:val="Bullets"/>
    <w:rsid w:val="00416389"/>
    <w:rPr>
      <w:rFonts w:ascii="Calibri" w:hAnsi="Calibri"/>
      <w:lang w:eastAsia="en-GB"/>
    </w:rPr>
  </w:style>
  <w:style w:type="paragraph" w:styleId="ListParagraph">
    <w:name w:val="List Paragraph"/>
    <w:basedOn w:val="Normal"/>
    <w:link w:val="ListParagraphChar"/>
    <w:uiPriority w:val="34"/>
    <w:qFormat/>
    <w:rsid w:val="00416389"/>
    <w:pPr>
      <w:ind w:left="720"/>
      <w:contextualSpacing/>
    </w:pPr>
  </w:style>
  <w:style w:type="character" w:customStyle="1" w:styleId="Heading3Char">
    <w:name w:val="Heading 3 Char"/>
    <w:basedOn w:val="DefaultParagraphFont"/>
    <w:link w:val="Heading3"/>
    <w:uiPriority w:val="9"/>
    <w:semiHidden/>
    <w:rsid w:val="003C02CA"/>
    <w:rPr>
      <w:rFonts w:asciiTheme="majorHAnsi" w:eastAsiaTheme="majorEastAsia" w:hAnsiTheme="majorHAnsi" w:cstheme="majorBidi"/>
      <w:color w:val="1F3763" w:themeColor="accent1" w:themeShade="7F"/>
    </w:rPr>
  </w:style>
  <w:style w:type="paragraph" w:customStyle="1" w:styleId="Sectionheading">
    <w:name w:val="Section heading"/>
    <w:link w:val="SectionheadingChar"/>
    <w:qFormat/>
    <w:rsid w:val="003C02CA"/>
    <w:pPr>
      <w:keepNext/>
      <w:keepLines/>
      <w:numPr>
        <w:numId w:val="21"/>
      </w:numPr>
      <w:spacing w:before="360" w:after="120" w:line="276" w:lineRule="auto"/>
      <w:outlineLvl w:val="1"/>
    </w:pPr>
    <w:rPr>
      <w:rFonts w:ascii="Tahoma" w:eastAsiaTheme="majorEastAsia" w:hAnsi="Tahoma" w:cstheme="minorHAnsi"/>
      <w:bCs/>
      <w:color w:val="FF4874"/>
      <w:sz w:val="28"/>
      <w:szCs w:val="28"/>
      <w:lang w:eastAsia="en-GB"/>
    </w:rPr>
  </w:style>
  <w:style w:type="paragraph" w:customStyle="1" w:styleId="Section-Level2">
    <w:name w:val="Section - Level 2"/>
    <w:basedOn w:val="Normal"/>
    <w:link w:val="Section-Level2Char"/>
    <w:qFormat/>
    <w:rsid w:val="003C02CA"/>
    <w:pPr>
      <w:numPr>
        <w:ilvl w:val="1"/>
        <w:numId w:val="21"/>
      </w:numPr>
      <w:spacing w:after="200"/>
      <w:jc w:val="both"/>
    </w:pPr>
    <w:rPr>
      <w:rFonts w:asciiTheme="minorHAnsi" w:hAnsiTheme="minorHAnsi"/>
      <w:lang w:eastAsia="en-GB"/>
    </w:rPr>
  </w:style>
  <w:style w:type="character" w:customStyle="1" w:styleId="SectionheadingChar">
    <w:name w:val="Section heading Char"/>
    <w:basedOn w:val="Heading2Char"/>
    <w:link w:val="Sectionheading"/>
    <w:rsid w:val="003C02CA"/>
    <w:rPr>
      <w:rFonts w:ascii="Tahoma" w:eastAsiaTheme="majorEastAsia" w:hAnsi="Tahoma" w:cstheme="minorHAnsi"/>
      <w:bCs/>
      <w:color w:val="FF4874"/>
      <w:sz w:val="28"/>
      <w:szCs w:val="28"/>
      <w:lang w:eastAsia="en-GB"/>
    </w:rPr>
  </w:style>
  <w:style w:type="paragraph" w:customStyle="1" w:styleId="Section-Level3">
    <w:name w:val="Section - Level 3"/>
    <w:basedOn w:val="Section-Level2"/>
    <w:qFormat/>
    <w:rsid w:val="003C02CA"/>
    <w:pPr>
      <w:numPr>
        <w:ilvl w:val="2"/>
      </w:numPr>
      <w:tabs>
        <w:tab w:val="num" w:pos="360"/>
      </w:tabs>
      <w:ind w:left="858" w:hanging="432"/>
    </w:pPr>
  </w:style>
  <w:style w:type="character" w:customStyle="1" w:styleId="Section-Level2Char">
    <w:name w:val="Section - Level 2 Char"/>
    <w:basedOn w:val="DefaultParagraphFont"/>
    <w:link w:val="Section-Level2"/>
    <w:rsid w:val="00505B27"/>
    <w:rPr>
      <w:lang w:eastAsia="en-GB"/>
    </w:rPr>
  </w:style>
  <w:style w:type="character" w:customStyle="1" w:styleId="ListParagraphChar">
    <w:name w:val="List Paragraph Char"/>
    <w:basedOn w:val="DefaultParagraphFont"/>
    <w:link w:val="ListParagraph"/>
    <w:uiPriority w:val="34"/>
    <w:rsid w:val="001D3EA5"/>
    <w:rPr>
      <w:rFonts w:ascii="Arial" w:hAnsi="Arial"/>
    </w:rPr>
  </w:style>
  <w:style w:type="paragraph" w:customStyle="1" w:styleId="Numbered">
    <w:name w:val="Numbered"/>
    <w:basedOn w:val="ListParagraph"/>
    <w:link w:val="NumberedChar"/>
    <w:qFormat/>
    <w:rsid w:val="009F090E"/>
    <w:pPr>
      <w:numPr>
        <w:numId w:val="33"/>
      </w:numPr>
      <w:spacing w:after="120"/>
      <w:contextualSpacing w:val="0"/>
      <w:jc w:val="both"/>
    </w:pPr>
    <w:rPr>
      <w:lang w:eastAsia="en-GB"/>
    </w:rPr>
  </w:style>
  <w:style w:type="character" w:customStyle="1" w:styleId="NumberedChar">
    <w:name w:val="Numbered Char"/>
    <w:basedOn w:val="ListParagraphChar"/>
    <w:link w:val="Numbered"/>
    <w:rsid w:val="009F090E"/>
    <w:rPr>
      <w:rFonts w:ascii="Arial" w:hAnsi="Arial"/>
      <w:lang w:eastAsia="en-GB"/>
    </w:rPr>
  </w:style>
  <w:style w:type="paragraph" w:customStyle="1" w:styleId="Appendix1heading">
    <w:name w:val="Appendix 1 heading"/>
    <w:basedOn w:val="Heading1"/>
    <w:link w:val="Appendix1headingChar"/>
    <w:qFormat/>
    <w:rsid w:val="001E5CB5"/>
    <w:pPr>
      <w:tabs>
        <w:tab w:val="center" w:pos="4513"/>
      </w:tabs>
      <w:spacing w:before="120" w:after="360"/>
    </w:pPr>
    <w:rPr>
      <w:rFonts w:ascii="Tahoma" w:hAnsi="Tahoma" w:cstheme="minorHAnsi"/>
      <w:bCs/>
      <w:color w:val="ED7D31" w:themeColor="accent2"/>
      <w:sz w:val="40"/>
      <w:szCs w:val="40"/>
      <w:lang w:eastAsia="en-GB"/>
    </w:rPr>
  </w:style>
  <w:style w:type="character" w:customStyle="1" w:styleId="Appendix1headingChar">
    <w:name w:val="Appendix 1 heading Char"/>
    <w:basedOn w:val="Heading1Char"/>
    <w:link w:val="Appendix1heading"/>
    <w:rsid w:val="001E5CB5"/>
    <w:rPr>
      <w:rFonts w:ascii="Tahoma" w:eastAsiaTheme="majorEastAsia" w:hAnsi="Tahoma" w:cstheme="minorHAnsi"/>
      <w:bCs/>
      <w:color w:val="ED7D31" w:themeColor="accent2"/>
      <w:sz w:val="40"/>
      <w:szCs w:val="40"/>
      <w:lang w:eastAsia="en-GB"/>
    </w:rPr>
  </w:style>
  <w:style w:type="paragraph" w:customStyle="1" w:styleId="Numbered1">
    <w:name w:val="Numbered 1"/>
    <w:basedOn w:val="ListParagraph"/>
    <w:link w:val="Numbered1Char"/>
    <w:rsid w:val="007C2D55"/>
    <w:pPr>
      <w:numPr>
        <w:numId w:val="39"/>
      </w:numPr>
      <w:spacing w:before="320" w:line="300" w:lineRule="atLeast"/>
      <w:ind w:left="720"/>
      <w:contextualSpacing w:val="0"/>
      <w:jc w:val="both"/>
    </w:pPr>
    <w:rPr>
      <w:rFonts w:eastAsia="Times New Roman" w:cs="Arial"/>
      <w:b/>
      <w:lang w:eastAsia="en-GB"/>
    </w:rPr>
  </w:style>
  <w:style w:type="paragraph" w:customStyle="1" w:styleId="Numbered2">
    <w:name w:val="Numbered 2"/>
    <w:basedOn w:val="Normal"/>
    <w:rsid w:val="007C2D55"/>
    <w:pPr>
      <w:numPr>
        <w:ilvl w:val="1"/>
        <w:numId w:val="39"/>
      </w:numPr>
      <w:autoSpaceDE w:val="0"/>
      <w:autoSpaceDN w:val="0"/>
      <w:adjustRightInd w:val="0"/>
      <w:spacing w:before="280" w:after="120" w:line="300" w:lineRule="atLeast"/>
      <w:ind w:right="100"/>
    </w:pPr>
    <w:rPr>
      <w:rFonts w:eastAsia="Times New Roman" w:cs="Arial"/>
      <w:b/>
      <w:color w:val="000000"/>
      <w:lang w:eastAsia="en-GB"/>
    </w:rPr>
  </w:style>
  <w:style w:type="character" w:customStyle="1" w:styleId="Numbered1Char">
    <w:name w:val="Numbered 1 Char"/>
    <w:basedOn w:val="ListParagraphChar"/>
    <w:link w:val="Numbered1"/>
    <w:rsid w:val="007C2D55"/>
    <w:rPr>
      <w:rFonts w:ascii="Arial" w:eastAsia="Times New Roman" w:hAnsi="Arial" w:cs="Arial"/>
      <w:b/>
      <w:lang w:eastAsia="en-GB"/>
    </w:rPr>
  </w:style>
  <w:style w:type="paragraph" w:customStyle="1" w:styleId="Numbered3">
    <w:name w:val="Numbered 3"/>
    <w:basedOn w:val="Normal"/>
    <w:rsid w:val="007C2D55"/>
    <w:pPr>
      <w:numPr>
        <w:ilvl w:val="2"/>
        <w:numId w:val="39"/>
      </w:numPr>
      <w:autoSpaceDE w:val="0"/>
      <w:autoSpaceDN w:val="0"/>
      <w:adjustRightInd w:val="0"/>
      <w:spacing w:before="280" w:after="120" w:line="300" w:lineRule="atLeast"/>
      <w:ind w:left="1800" w:right="100"/>
    </w:pPr>
    <w:rPr>
      <w:rFonts w:eastAsia="Times New Roman" w:cs="Arial"/>
      <w:color w:val="000000"/>
      <w:lang w:eastAsia="en-GB"/>
    </w:rPr>
  </w:style>
  <w:style w:type="character" w:customStyle="1" w:styleId="TableheadingChar">
    <w:name w:val="Table heading Char"/>
    <w:basedOn w:val="DefaultParagraphFont"/>
    <w:link w:val="Tableheading"/>
    <w:locked/>
    <w:rsid w:val="006E7D0F"/>
    <w:rPr>
      <w:color w:val="1381BE"/>
      <w:lang w:eastAsia="en-GB"/>
    </w:rPr>
  </w:style>
  <w:style w:type="paragraph" w:customStyle="1" w:styleId="Tableheading">
    <w:name w:val="Table heading"/>
    <w:basedOn w:val="Normal"/>
    <w:link w:val="TableheadingChar"/>
    <w:qFormat/>
    <w:rsid w:val="006E7D0F"/>
    <w:pPr>
      <w:spacing w:before="120" w:after="120"/>
    </w:pPr>
    <w:rPr>
      <w:rFonts w:asciiTheme="minorHAnsi" w:hAnsiTheme="minorHAnsi"/>
      <w:color w:val="1381BE"/>
      <w:lang w:eastAsia="en-GB"/>
    </w:rPr>
  </w:style>
  <w:style w:type="paragraph" w:customStyle="1" w:styleId="Numberedheadings">
    <w:name w:val="Numbered headings"/>
    <w:link w:val="NumberedheadingsChar"/>
    <w:qFormat/>
    <w:rsid w:val="00C03281"/>
    <w:pPr>
      <w:numPr>
        <w:numId w:val="49"/>
      </w:numPr>
      <w:spacing w:after="200" w:line="276" w:lineRule="auto"/>
      <w:ind w:left="360"/>
    </w:pPr>
    <w:rPr>
      <w:rFonts w:ascii="Franklin Gothic Book" w:hAnsi="Franklin Gothic Book"/>
      <w:color w:val="0077C8"/>
      <w:sz w:val="22"/>
      <w:szCs w:val="22"/>
      <w:lang w:eastAsia="en-GB"/>
    </w:rPr>
  </w:style>
  <w:style w:type="character" w:customStyle="1" w:styleId="NumberedheadingsChar">
    <w:name w:val="Numbered headings Char"/>
    <w:basedOn w:val="NumberedChar"/>
    <w:link w:val="Numberedheadings"/>
    <w:rsid w:val="00C03281"/>
    <w:rPr>
      <w:rFonts w:ascii="Franklin Gothic Book" w:hAnsi="Franklin Gothic Book"/>
      <w:color w:val="0077C8"/>
      <w:sz w:val="22"/>
      <w:szCs w:val="22"/>
      <w:lang w:eastAsia="en-GB"/>
    </w:rPr>
  </w:style>
  <w:style w:type="paragraph" w:styleId="TOC1">
    <w:name w:val="toc 1"/>
    <w:basedOn w:val="Normal"/>
    <w:next w:val="Normal"/>
    <w:autoRedefine/>
    <w:uiPriority w:val="39"/>
    <w:unhideWhenUsed/>
    <w:rsid w:val="00A074E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08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opsi.gov.uk/acts/acts2002/20020022.htm" TargetMode="External"/><Relationship Id="rId23" Type="http://schemas.openxmlformats.org/officeDocument/2006/relationships/image" Target="media/image6.png"/><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mso.gov.uk/acts/acts1996/1996018.htm" TargetMode="External"/><Relationship Id="rId22" Type="http://schemas.openxmlformats.org/officeDocument/2006/relationships/image" Target="media/image5.wm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bcacea-263c-4f06-8331-ad7cfe2bb525">
      <Terms xmlns="http://schemas.microsoft.com/office/infopath/2007/PartnerControls"/>
    </lcf76f155ced4ddcb4097134ff3c332f>
    <TaxCatchAll xmlns="f9f9d8f7-6499-4d85-a3d1-c325ea0d3e5f" xsi:nil="true"/>
    <_Flow_SignoffStatus xmlns="abbcacea-263c-4f06-8331-ad7cfe2bb525" xsi:nil="true"/>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78EC356A50D24784E32961D47B4EB1" ma:contentTypeVersion="18" ma:contentTypeDescription="Create a new document." ma:contentTypeScope="" ma:versionID="66b0be4137fd5c3a0ac3d5a9d3fa44ac">
  <xsd:schema xmlns:xsd="http://www.w3.org/2001/XMLSchema" xmlns:xs="http://www.w3.org/2001/XMLSchema" xmlns:p="http://schemas.microsoft.com/office/2006/metadata/properties" xmlns:ns2="abbcacea-263c-4f06-8331-ad7cfe2bb525" xmlns:ns3="f9f9d8f7-6499-4d85-a3d1-c325ea0d3e5f" xmlns:ns4="http://schemas.microsoft.com/sharepoint/v4" targetNamespace="http://schemas.microsoft.com/office/2006/metadata/properties" ma:root="true" ma:fieldsID="5e1d755a21fa749146756247d870573f" ns2:_="" ns3:_="" ns4:_="">
    <xsd:import namespace="abbcacea-263c-4f06-8331-ad7cfe2bb525"/>
    <xsd:import namespace="f9f9d8f7-6499-4d85-a3d1-c325ea0d3e5f"/>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_Flow_SignoffStatus" minOccurs="0"/>
                <xsd:element ref="ns4:IconOverlay"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cacea-263c-4f06-8331-ad7cfe2bb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609406-689c-49b6-8f6a-139e27bc9d7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9d8f7-6499-4d85-a3d1-c325ea0d3e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77d169c-778b-4bc8-9ead-357c640b068b}" ma:internalName="TaxCatchAll" ma:showField="CatchAllData" ma:web="f9f9d8f7-6499-4d85-a3d1-c325ea0d3e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B1E7FC-2C34-4F72-926B-E8E2752AE2E2}">
  <ds:schemaRefs>
    <ds:schemaRef ds:uri="http://schemas.microsoft.com/office/2006/metadata/properties"/>
    <ds:schemaRef ds:uri="http://schemas.microsoft.com/office/infopath/2007/PartnerControls"/>
    <ds:schemaRef ds:uri="abbcacea-263c-4f06-8331-ad7cfe2bb525"/>
    <ds:schemaRef ds:uri="f9f9d8f7-6499-4d85-a3d1-c325ea0d3e5f"/>
    <ds:schemaRef ds:uri="http://schemas.microsoft.com/sharepoint/v4"/>
  </ds:schemaRefs>
</ds:datastoreItem>
</file>

<file path=customXml/itemProps2.xml><?xml version="1.0" encoding="utf-8"?>
<ds:datastoreItem xmlns:ds="http://schemas.openxmlformats.org/officeDocument/2006/customXml" ds:itemID="{40A89677-4688-494E-892F-005DF8256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cacea-263c-4f06-8331-ad7cfe2bb525"/>
    <ds:schemaRef ds:uri="f9f9d8f7-6499-4d85-a3d1-c325ea0d3e5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E3A9E-F2FB-4C0F-9729-3F8F8779161E}">
  <ds:schemaRefs>
    <ds:schemaRef ds:uri="http://schemas.openxmlformats.org/officeDocument/2006/bibliography"/>
  </ds:schemaRefs>
</ds:datastoreItem>
</file>

<file path=customXml/itemProps4.xml><?xml version="1.0" encoding="utf-8"?>
<ds:datastoreItem xmlns:ds="http://schemas.openxmlformats.org/officeDocument/2006/customXml" ds:itemID="{C8F027BB-B209-4F5A-8B93-2D2771C9C1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26</Pages>
  <Words>8261</Words>
  <Characters>44446</Characters>
  <Application>Microsoft Office Word</Application>
  <DocSecurity>0</DocSecurity>
  <Lines>1058</Lines>
  <Paragraphs>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Booth</dc:creator>
  <cp:keywords/>
  <dc:description/>
  <cp:lastModifiedBy>Alison Anderson</cp:lastModifiedBy>
  <cp:revision>3</cp:revision>
  <cp:lastPrinted>2023-11-15T16:58:00Z</cp:lastPrinted>
  <dcterms:created xsi:type="dcterms:W3CDTF">2023-11-15T16:59:00Z</dcterms:created>
  <dcterms:modified xsi:type="dcterms:W3CDTF">2023-11-16T10:39:00Z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13f521-439d-4e48-8e98-41ab6c596aa7_Enabled">
    <vt:lpwstr>true</vt:lpwstr>
  </property>
  <property fmtid="{D5CDD505-2E9C-101B-9397-08002B2CF9AE}" pid="3" name="MSIP_Label_6013f521-439d-4e48-8e98-41ab6c596aa7_SetDate">
    <vt:lpwstr>2022-06-29T12:33:08Z</vt:lpwstr>
  </property>
  <property fmtid="{D5CDD505-2E9C-101B-9397-08002B2CF9AE}" pid="4" name="MSIP_Label_6013f521-439d-4e48-8e98-41ab6c596aa7_Method">
    <vt:lpwstr>Standard</vt:lpwstr>
  </property>
  <property fmtid="{D5CDD505-2E9C-101B-9397-08002B2CF9AE}" pid="5" name="MSIP_Label_6013f521-439d-4e48-8e98-41ab6c596aa7_Name">
    <vt:lpwstr>6013f521-439d-4e48-8e98-41ab6c596aa7</vt:lpwstr>
  </property>
  <property fmtid="{D5CDD505-2E9C-101B-9397-08002B2CF9AE}" pid="6" name="MSIP_Label_6013f521-439d-4e48-8e98-41ab6c596aa7_SiteId">
    <vt:lpwstr>12f921d8-f30d-4596-a652-7045b338485a</vt:lpwstr>
  </property>
  <property fmtid="{D5CDD505-2E9C-101B-9397-08002B2CF9AE}" pid="7" name="MSIP_Label_6013f521-439d-4e48-8e98-41ab6c596aa7_ActionId">
    <vt:lpwstr>9126150e-ff4e-4bce-b25e-1663d6ea6405</vt:lpwstr>
  </property>
  <property fmtid="{D5CDD505-2E9C-101B-9397-08002B2CF9AE}" pid="8" name="MSIP_Label_6013f521-439d-4e48-8e98-41ab6c596aa7_ContentBits">
    <vt:lpwstr>0</vt:lpwstr>
  </property>
  <property fmtid="{D5CDD505-2E9C-101B-9397-08002B2CF9AE}" pid="9" name="ContentTypeId">
    <vt:lpwstr>0x010100D578EC356A50D24784E32961D47B4EB1</vt:lpwstr>
  </property>
  <property fmtid="{D5CDD505-2E9C-101B-9397-08002B2CF9AE}" pid="10" name="MediaServiceImageTags">
    <vt:lpwstr/>
  </property>
</Properties>
</file>